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G-SingleSp"/>
        <w:rPr>
          <w:u w:val="single"/>
        </w:rPr>
      </w:pPr>
      <w:r>
        <w:rPr>
          <w:u w:val="single"/>
        </w:rPr>
        <w:t>Proposed Amendments to the Commodity Futures Modernization Act of 2000</w:t>
      </w:r>
    </w:p>
    <w:p>
      <w:pPr>
        <w:pStyle w:val="CG-SingleSp"/>
        <w:rPr>
          <w:u w:val="single"/>
        </w:rPr>
      </w:pPr>
      <w:r>
        <w:rPr>
          <w:u w:val="single"/>
        </w:rPr>
      </w:r>
    </w:p>
    <w:p>
      <w:pPr>
        <w:pStyle w:val="CG-SingleSp"/>
        <w:rPr/>
      </w:pPr>
      <w:r>
        <w:rPr/>
        <w:t>Strike new section 1a(12) of the Commodity Exchange Act and insert the following:</w:t>
      </w:r>
    </w:p>
    <w:p>
      <w:pPr>
        <w:pStyle w:val="CG-SingleSp"/>
        <w:rPr/>
      </w:pPr>
      <w:r>
        <w:rPr/>
        <w:t>(12)</w:t>
        <w:tab/>
      </w:r>
      <w:r>
        <w:rPr>
          <w:u w:val="single"/>
        </w:rPr>
        <w:t>Exclusion-Eligible Commodity</w:t>
      </w:r>
      <w:r>
        <w:rPr/>
        <w:t>.  The term “exclusion-eligible commodity” means—</w:t>
      </w:r>
    </w:p>
    <w:p>
      <w:pPr>
        <w:pStyle w:val="CG-SingleSp"/>
        <w:rPr/>
      </w:pPr>
      <w:r>
        <w:rPr/>
        <w:t>(A)</w:t>
        <w:tab/>
        <w:t xml:space="preserve">an interest rate, exchange rate, currency, security, security index, credit risk or measure, debt or equity instrument, or index or measure of inflation; </w:t>
      </w:r>
    </w:p>
    <w:p>
      <w:pPr>
        <w:pStyle w:val="CG-SingleSp"/>
        <w:rPr/>
      </w:pPr>
      <w:r>
        <w:rPr/>
        <w:t>(B)</w:t>
        <w:tab/>
        <w:t>any other rate, differential, index, or measure of economic or commercial risk, return, or value—</w:t>
      </w:r>
    </w:p>
    <w:p>
      <w:pPr>
        <w:pStyle w:val="CG-SingleSp"/>
        <w:ind w:start="720" w:end="0"/>
        <w:rPr/>
      </w:pPr>
      <w:r>
        <w:rPr/>
        <w:t>(i)</w:t>
        <w:tab/>
        <w:t>that is not based in substantial part on the value of a narrow group of commodities not described in subparagraph (A); or</w:t>
      </w:r>
    </w:p>
    <w:p>
      <w:pPr>
        <w:pStyle w:val="CG-SingleSp"/>
        <w:ind w:start="720" w:end="0"/>
        <w:rPr/>
      </w:pPr>
      <w:r>
        <w:rPr/>
        <w:t>(ii)</w:t>
        <w:tab/>
        <w:t>for which the underlying commodity or commodities have no cash market;</w:t>
      </w:r>
    </w:p>
    <w:p>
      <w:pPr>
        <w:pStyle w:val="CG-SingleSp"/>
        <w:rPr/>
      </w:pPr>
      <w:r>
        <w:rPr/>
        <w:t>(C)</w:t>
        <w:tab/>
        <w:t>any economic or commercial index based on a price, rate, value or level that is not within the control of any party to the relevant agreement, contract or transaction; or</w:t>
      </w:r>
    </w:p>
    <w:p>
      <w:pPr>
        <w:pStyle w:val="CG-SingleSp"/>
        <w:rPr/>
      </w:pPr>
      <w:r>
        <w:rPr/>
        <w:t>(D)</w:t>
        <w:tab/>
        <w:t>an occurrence, extent of an occurrence or contingency (other than a change in the price, rate, value or level of a commodity not described in subparagraph (A)) that is</w:t>
      </w:r>
    </w:p>
    <w:p>
      <w:pPr>
        <w:pStyle w:val="CG-SingleSp"/>
        <w:ind w:start="720" w:end="0"/>
        <w:rPr/>
      </w:pPr>
      <w:r>
        <w:rPr/>
        <w:t>(i)</w:t>
        <w:tab/>
        <w:t xml:space="preserve">beyond the control of the parties to the relevant agreement, contract or transaction; and </w:t>
      </w:r>
    </w:p>
    <w:p>
      <w:pPr>
        <w:pStyle w:val="CG-SingleSp"/>
        <w:ind w:start="720" w:end="0"/>
        <w:rPr/>
      </w:pPr>
      <w:r>
        <w:rPr/>
        <w:t>(ii)</w:t>
        <w:tab/>
        <w:t>associated with a financial, commercial or economic consequence.</w:t>
      </w:r>
    </w:p>
    <w:p>
      <w:pPr>
        <w:pStyle w:val="CG-SingleSp"/>
        <w:rPr/>
      </w:pPr>
      <w:r>
        <w:rPr/>
      </w:r>
    </w:p>
    <w:p>
      <w:pPr>
        <w:pStyle w:val="CG-SingleSp"/>
        <w:rPr/>
      </w:pPr>
      <w:r>
        <w:rPr/>
        <w:t>Change the term “excluded commodity” to “exclusion-eligible commodity” wherever it appears.</w:t>
      </w:r>
      <w:r>
        <w:br w:type="page"/>
      </w:r>
    </w:p>
    <w:p>
      <w:pPr>
        <w:pStyle w:val="CG-SingleSp"/>
        <w:rPr/>
      </w:pPr>
      <w:r>
        <w:rPr/>
        <w:t>Insert the following provisions and renumber the sections thereafter:</w:t>
      </w:r>
    </w:p>
    <w:p>
      <w:pPr>
        <w:pStyle w:val="CG-SingleSp"/>
        <w:rPr/>
      </w:pPr>
      <w:r>
        <w:rPr/>
        <w:t xml:space="preserve">Sec. 10.  </w:t>
      </w:r>
      <w:r>
        <w:rPr>
          <w:u w:val="single"/>
        </w:rPr>
        <w:t>Swap Transactions</w:t>
      </w:r>
      <w:r>
        <w:rPr/>
        <w:t>.  Section 2 of the Commodity Exchange Act (7 U.S.C. 2, 2a, 3, 4, 4a) (as amended by section 9) is amended by adding at the end the following:</w:t>
      </w:r>
    </w:p>
    <w:p>
      <w:pPr>
        <w:pStyle w:val="CG-SingleSp"/>
        <w:rPr/>
      </w:pPr>
      <w:r>
        <w:rPr/>
        <w:t>(i)</w:t>
        <w:tab/>
      </w:r>
      <w:r>
        <w:rPr>
          <w:u w:val="single"/>
        </w:rPr>
        <w:t>Excluded Swap Transactions</w:t>
      </w:r>
      <w:r>
        <w:rPr/>
        <w:t>.</w:t>
      </w:r>
    </w:p>
    <w:p>
      <w:pPr>
        <w:pStyle w:val="CG-SingleSp"/>
        <w:rPr/>
      </w:pPr>
      <w:r>
        <w:rPr/>
        <w:t>Nothing in this Act (other than section 5b or 12(e)(2)(B)) governs or applies to an agreement, contract or transaction in a commodity other than an agricultural commodity enumerated in section 1a(3) if:</w:t>
      </w:r>
    </w:p>
    <w:p>
      <w:pPr>
        <w:pStyle w:val="CG-SingleSp"/>
        <w:ind w:start="720" w:end="0"/>
        <w:rPr/>
      </w:pPr>
      <w:r>
        <w:rPr/>
        <w:t>(A)</w:t>
        <w:tab/>
        <w:t>the agreement, contract or transaction is entered into only between persons that are eligible contract participants at the time at which the persons enter into the agreement, contract or transaction; and</w:t>
      </w:r>
    </w:p>
    <w:p>
      <w:pPr>
        <w:pStyle w:val="CG-SingleSp"/>
        <w:ind w:start="720" w:end="0"/>
        <w:rPr/>
      </w:pPr>
      <w:r>
        <w:rPr/>
        <w:t>(B)</w:t>
        <w:tab/>
        <w:t>the material economic terms of the agreement, contract or transaction are subject to individual negotiation and are not specified by the rules, terms or conditions of a trading facility.</w:t>
      </w:r>
    </w:p>
    <w:p>
      <w:pPr>
        <w:pStyle w:val="CG-SingleSp"/>
        <w:rPr/>
      </w:pPr>
      <w:r>
        <w:rPr/>
      </w:r>
    </w:p>
    <w:p>
      <w:pPr>
        <w:pStyle w:val="CG-SingleSp"/>
        <w:rPr/>
      </w:pPr>
      <w:r>
        <w:rPr/>
        <w:t xml:space="preserve">Sec. 11.  </w:t>
      </w:r>
      <w:r>
        <w:rPr>
          <w:u w:val="single"/>
        </w:rPr>
        <w:t>Application of the Commodity Exchange Act</w:t>
      </w:r>
      <w:r>
        <w:rPr/>
        <w:t>.  Section 2 of the Commodity Exchange Act (7 U.S.C. 2, 2a, 3, 4, 4a) (as amended by section 10) is amended by adding at the end the following:</w:t>
      </w:r>
    </w:p>
    <w:p>
      <w:pPr>
        <w:pStyle w:val="CG-SingleSp"/>
        <w:rPr/>
      </w:pPr>
      <w:r>
        <w:rPr/>
        <w:t>(j)</w:t>
        <w:tab/>
      </w:r>
      <w:r>
        <w:rPr>
          <w:u w:val="single"/>
        </w:rPr>
        <w:t>Application of the Act</w:t>
      </w:r>
      <w:r>
        <w:rPr/>
        <w:t xml:space="preserve">. </w:t>
      </w:r>
    </w:p>
    <w:p>
      <w:pPr>
        <w:pStyle w:val="CG-SingleSp"/>
        <w:rPr/>
      </w:pPr>
      <w:r>
        <w:rPr/>
        <w:t>Nothing in this Act shall be construed (i) as implying or creating any presumption that (A) any agreement, contract or transaction that is eligible for an exclusion or exemption from regulation under this Act or (B) any agreement, contract or transaction that is not eligible for an exclusion or exemption from regulation under this Act is or would otherwise be subject to this Act or (ii) as conferring jurisdiction on the Commission with respect to any such agreement, contract or transaction, except as expressly provided in section 5a (to the extent so provided in section 5a(g)) and 5b.</w:t>
      </w:r>
    </w:p>
    <w:p>
      <w:pPr>
        <w:pStyle w:val="CG-SingleSp"/>
        <w:rPr/>
      </w:pPr>
      <w:r>
        <w:rPr/>
      </w:r>
      <w:r>
        <w:br w:type="page"/>
      </w:r>
    </w:p>
    <w:p>
      <w:pPr>
        <w:pStyle w:val="CG-SingleSp"/>
        <w:rPr/>
      </w:pPr>
      <w:r>
        <w:rPr/>
        <w:t>Strike section 22 of the Bill and insert the following:</w:t>
      </w:r>
    </w:p>
    <w:p>
      <w:pPr>
        <w:pStyle w:val="CG-SingleSp"/>
        <w:rPr/>
      </w:pPr>
      <w:r>
        <w:rPr/>
      </w:r>
    </w:p>
    <w:p>
      <w:pPr>
        <w:pStyle w:val="CG-SingleSp"/>
        <w:rPr/>
      </w:pPr>
      <w:r>
        <w:rPr/>
        <w:t xml:space="preserve">Sec. 22.  </w:t>
      </w:r>
      <w:r>
        <w:rPr>
          <w:u w:val="single"/>
        </w:rPr>
        <w:t>Contract Enforcement Between Eligible Counterparties</w:t>
      </w:r>
      <w:r>
        <w:rPr/>
        <w:t>.  Section 22(a) of the Commodity Exchange Act (7 U.S.C. 25(a)) is amended by adding at the end the following:</w:t>
      </w:r>
    </w:p>
    <w:p>
      <w:pPr>
        <w:pStyle w:val="CG-SingleSp"/>
        <w:rPr/>
      </w:pPr>
      <w:r>
        <w:rPr/>
        <w:t>(4)</w:t>
        <w:tab/>
      </w:r>
      <w:r>
        <w:rPr>
          <w:lang w:eastAsia="en-US"/>
        </w:rPr>
        <w:t>No agreement, contract, or transaction shall be void, voidable, or unenforceable, and no party thereto shall be entitled to rescind, or recover any payment made with respect to, such an agreement, contract, or transaction, under this section or any other provision of Federal or State law based solely on the failure of the agreement, contract, or transaction to comply with the terms or conditions of an exemption or exclusion from any provision of this Act or regulations of the Commission.</w:t>
      </w:r>
    </w:p>
    <w:p>
      <w:pPr>
        <w:pStyle w:val="Normal"/>
        <w:rPr/>
      </w:pPr>
      <w:r>
        <w:rPr/>
      </w:r>
    </w:p>
    <w:p>
      <w:pPr>
        <w:pStyle w:val="Normal"/>
        <w:rPr/>
      </w:pPr>
      <w:r>
        <w:rPr/>
      </w:r>
    </w:p>
    <w:p>
      <w:pPr>
        <w:pStyle w:val="CG-SingleSp"/>
        <w:rPr/>
      </w:pPr>
      <w:r>
        <w:rPr/>
      </w:r>
    </w:p>
    <w:p>
      <w:pPr>
        <w:pStyle w:val="Normal"/>
        <w:rPr/>
      </w:pPr>
      <w:r>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t xml:space="preserve"> </w:t>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t xml:space="preserve"> </w:t>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t xml:space="preserve"> </w:t>
          </w:r>
          <w:r>
            <w:rPr>
              <w:rStyle w:val="iManageFooter"/>
            </w:rPr>
            <w:fldChar w:fldCharType="end"/>
          </w:r>
          <w:r>
            <w:rPr>
              <w:rStyle w:val="iManageFooter"/>
            </w:rPr>
            <w:t xml:space="preserve">  </w:t>
          </w:r>
        </w:p>
      </w:tc>
      <w:tc>
        <w:tcPr>
          <w:tcW w:w="3192"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c>
      <w:tc>
        <w:tcPr>
          <w:tcW w:w="3192" w:type="dxa"/>
          <w:tcBorders/>
        </w:tcPr>
        <w:p>
          <w:pPr>
            <w:pStyle w:val="Footer"/>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t xml:space="preserve"> </w:t>
          </w:r>
          <w:r>
            <w:rPr>
              <w:rStyle w:val="FooterRightSideText"/>
            </w:rPr>
            <w:fldChar w:fldCharType="end"/>
          </w:r>
        </w:p>
      </w:tc>
    </w:tr>
  </w:tbl>
  <w:p>
    <w:pPr>
      <w:pStyle w:val="Footer"/>
      <w:spacing w:lineRule="exact" w:line="60"/>
      <w:rPr>
        <w:rStyle w:val="FooterRightSideTex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rHeight w:val="480" w:hRule="exact"/>
      </w:trPr>
      <w:tc>
        <w:tcPr>
          <w:tcW w:w="3192" w:type="dxa"/>
          <w:tcBorders/>
          <w:vAlign w:val="bottom"/>
        </w:tcPr>
        <w:p>
          <w:pPr>
            <w:pStyle w:val="Footer"/>
            <w:rPr/>
          </w:pPr>
          <w:r>
            <w:rPr>
              <w:rStyle w:val="iManageFooter"/>
            </w:rPr>
            <w:fldChar w:fldCharType="begin"/>
          </w:r>
          <w:r>
            <w:rPr>
              <w:rStyle w:val="iManageFooter"/>
            </w:rPr>
            <w:instrText xml:space="preserve"> DOCPROPERTY "DocLibrary"</w:instrText>
          </w:r>
          <w:r>
            <w:rPr>
              <w:rStyle w:val="iManageFooter"/>
            </w:rPr>
            <w:fldChar w:fldCharType="separate"/>
          </w:r>
          <w:r>
            <w:rPr>
              <w:rStyle w:val="iManageFooter"/>
            </w:rPr>
            <w:t xml:space="preserve"> </w:t>
          </w:r>
          <w:r>
            <w:rPr>
              <w:rStyle w:val="iManageFooter"/>
            </w:rPr>
            <w:fldChar w:fldCharType="end"/>
          </w:r>
          <w:r>
            <w:rPr>
              <w:rStyle w:val="iManageFooter"/>
            </w:rPr>
            <w:fldChar w:fldCharType="begin"/>
          </w:r>
          <w:r>
            <w:rPr>
              <w:rStyle w:val="iManageFooter"/>
            </w:rPr>
            <w:instrText xml:space="preserve"> DOCPROPERTY "DocNumber"</w:instrText>
          </w:r>
          <w:r>
            <w:rPr>
              <w:rStyle w:val="iManageFooter"/>
            </w:rPr>
            <w:fldChar w:fldCharType="separate"/>
          </w:r>
          <w:r>
            <w:rPr>
              <w:rStyle w:val="iManageFooter"/>
            </w:rPr>
            <w:t xml:space="preserve"> </w:t>
          </w:r>
          <w:r>
            <w:rPr>
              <w:rStyle w:val="iManageFooter"/>
            </w:rPr>
            <w:fldChar w:fldCharType="end"/>
          </w:r>
          <w:r>
            <w:rPr>
              <w:rStyle w:val="iManageFooter"/>
            </w:rPr>
            <w:fldChar w:fldCharType="begin"/>
          </w:r>
          <w:r>
            <w:rPr>
              <w:rStyle w:val="iManageFooter"/>
            </w:rPr>
            <w:instrText xml:space="preserve"> DOCPROPERTY "DocVersion"</w:instrText>
          </w:r>
          <w:r>
            <w:rPr>
              <w:rStyle w:val="iManageFooter"/>
            </w:rPr>
            <w:fldChar w:fldCharType="separate"/>
          </w:r>
          <w:r>
            <w:rPr>
              <w:rStyle w:val="iManageFooter"/>
            </w:rPr>
            <w:t xml:space="preserve"> </w:t>
          </w:r>
          <w:r>
            <w:rPr>
              <w:rStyle w:val="iManageFooter"/>
            </w:rPr>
            <w:fldChar w:fldCharType="end"/>
          </w:r>
          <w:r>
            <w:rPr>
              <w:rStyle w:val="iManageFooter"/>
            </w:rPr>
            <w:t xml:space="preserve">  </w:t>
          </w:r>
        </w:p>
      </w:tc>
      <w:tc>
        <w:tcPr>
          <w:tcW w:w="3192" w:type="dxa"/>
          <w:tcBorders/>
        </w:tcPr>
        <w:p>
          <w:pPr>
            <w:pStyle w:val="Footer"/>
            <w:snapToGrid w:val="false"/>
            <w:jc w:val="center"/>
            <w:rPr>
              <w:rStyle w:val="iManageFooter"/>
            </w:rPr>
          </w:pPr>
          <w:r>
            <w:rPr/>
          </w:r>
        </w:p>
      </w:tc>
      <w:tc>
        <w:tcPr>
          <w:tcW w:w="3192" w:type="dxa"/>
          <w:tcBorders/>
        </w:tcPr>
        <w:p>
          <w:pPr>
            <w:pStyle w:val="Footer"/>
            <w:jc w:val="end"/>
            <w:rPr>
              <w:rStyle w:val="FooterRightSideText"/>
            </w:rPr>
          </w:pPr>
          <w:r>
            <w:rPr>
              <w:rStyle w:val="FooterRightSideText"/>
            </w:rPr>
            <w:fldChar w:fldCharType="begin"/>
          </w:r>
          <w:r>
            <w:rPr>
              <w:rStyle w:val="FooterRightSideText"/>
            </w:rPr>
            <w:instrText xml:space="preserve"> DOCPROPERTY "FooterRightSideText"</w:instrText>
          </w:r>
          <w:r>
            <w:rPr>
              <w:rStyle w:val="FooterRightSideText"/>
            </w:rPr>
            <w:fldChar w:fldCharType="separate"/>
          </w:r>
          <w:r>
            <w:rPr>
              <w:rStyle w:val="FooterRightSideText"/>
            </w:rPr>
            <w:t xml:space="preserve"> </w:t>
          </w:r>
          <w:r>
            <w:rPr>
              <w:rStyle w:val="FooterRightSideText"/>
            </w:rPr>
            <w:fldChar w:fldCharType="end"/>
          </w:r>
        </w:p>
      </w:tc>
    </w:tr>
  </w:tbl>
  <w:p>
    <w:pPr>
      <w:pStyle w:val="Footer"/>
      <w:spacing w:lineRule="exact" w:line="60"/>
      <w:rPr>
        <w:rStyle w:val="FooterRightSideTex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360"/>
        </w:tabs>
        <w:ind w:start="360" w:hanging="360"/>
      </w:pPr>
    </w:lvl>
  </w:abstractNum>
  <w:abstractNum w:abstractNumId="6">
    <w:lvl w:ilvl="0">
      <w:start w:val="1"/>
      <w:numFmt w:val="lowerRoman"/>
      <w:lvlText w:val="(%1)"/>
      <w:lvlJc w:val="end"/>
      <w:pPr>
        <w:tabs>
          <w:tab w:val="num" w:pos="504"/>
        </w:tabs>
        <w:ind w:start="504" w:hanging="216"/>
      </w:pPr>
    </w:lvl>
  </w:abstractNum>
  <w:abstractNum w:abstractNumId="7">
    <w:lvl w:ilvl="0">
      <w:start w:val="1"/>
      <w:numFmt w:val="lowerLetter"/>
      <w:lvlText w:val="(%1)"/>
      <w:lvlJc w:val="start"/>
      <w:pPr>
        <w:tabs>
          <w:tab w:val="num" w:pos="360"/>
        </w:tabs>
        <w:ind w:start="360" w:hanging="360"/>
      </w:pPr>
    </w:lvl>
  </w:abstractNum>
  <w:abstractNum w:abstractNumId="8">
    <w:lvl w:ilvl="0">
      <w:start w:val="1"/>
      <w:numFmt w:val="upperRoman"/>
      <w:lvlText w:val="%1."/>
      <w:lvlJc w:val="start"/>
      <w:pPr>
        <w:tabs>
          <w:tab w:val="num" w:pos="720"/>
        </w:tabs>
        <w:ind w:start="720" w:hanging="72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8z0">
    <w:name w:val="WW8Num8z0"/>
    <w:qFormat/>
    <w:rPr>
      <w:rFonts w:ascii="Symbol" w:hAnsi="Symbol" w:cs="Symbol"/>
    </w:rPr>
  </w:style>
  <w:style w:type="character" w:styleId="DefaultParagraphFont">
    <w:name w:val="Default Paragraph Font"/>
    <w:qFormat/>
    <w:rPr/>
  </w:style>
  <w:style w:type="character" w:styleId="FooterRightSideText">
    <w:name w:val="FooterRightSideText"/>
    <w:basedOn w:val="DefaultParagraphFont"/>
    <w:qFormat/>
    <w:rPr/>
  </w:style>
  <w:style w:type="character" w:styleId="iManageFooter">
    <w:name w:val="iManage Footer"/>
    <w:basedOn w:val="DefaultParagraphFont"/>
    <w:qFormat/>
    <w:rPr>
      <w:sz w:val="16"/>
      <w:lang w:val="en-CA" w:eastAsia="en-CA"/>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G-Bullet">
    <w:name w:val="CG-Bullet"/>
    <w:basedOn w:val="Normal"/>
    <w:qFormat/>
    <w:pPr>
      <w:numPr>
        <w:ilvl w:val="0"/>
        <w:numId w:val="4"/>
      </w:numPr>
    </w:pPr>
    <w:rPr>
      <w:sz w:val="24"/>
    </w:rPr>
  </w:style>
  <w:style w:type="paragraph" w:styleId="CG-DblInd05">
    <w:name w:val="CG-Dbl Ind 0.5"/>
    <w:basedOn w:val="Normal"/>
    <w:qFormat/>
    <w:pPr>
      <w:spacing w:before="0" w:after="240"/>
      <w:ind w:hanging="0" w:start="720" w:end="720"/>
    </w:pPr>
    <w:rPr>
      <w:sz w:val="24"/>
    </w:rPr>
  </w:style>
  <w:style w:type="paragraph" w:styleId="CG-DblInd1">
    <w:name w:val="CG-Dbl Ind 1"/>
    <w:basedOn w:val="Normal"/>
    <w:qFormat/>
    <w:pPr>
      <w:spacing w:before="0" w:after="240"/>
      <w:ind w:hanging="0" w:start="1440" w:end="1440"/>
    </w:pPr>
    <w:rPr>
      <w:sz w:val="24"/>
    </w:rPr>
  </w:style>
  <w:style w:type="paragraph" w:styleId="CG-DblSp05">
    <w:name w:val="CG-Dbl Sp 0.5"/>
    <w:basedOn w:val="Normal"/>
    <w:qFormat/>
    <w:pPr>
      <w:spacing w:lineRule="auto" w:line="480"/>
      <w:ind w:firstLine="720" w:start="0" w:end="0"/>
    </w:pPr>
    <w:rPr>
      <w:sz w:val="24"/>
    </w:rPr>
  </w:style>
  <w:style w:type="paragraph" w:styleId="CG-DblSp1">
    <w:name w:val="CG-Dbl Sp 1"/>
    <w:basedOn w:val="Normal"/>
    <w:qFormat/>
    <w:pPr>
      <w:spacing w:lineRule="auto" w:line="480"/>
      <w:ind w:firstLine="1440" w:start="0" w:end="0"/>
    </w:pPr>
    <w:rPr>
      <w:sz w:val="24"/>
    </w:rPr>
  </w:style>
  <w:style w:type="paragraph" w:styleId="CG-DblSp">
    <w:name w:val="CG-Dbl Sp"/>
    <w:basedOn w:val="Normal"/>
    <w:qFormat/>
    <w:pPr>
      <w:spacing w:lineRule="auto" w:line="480"/>
    </w:pPr>
    <w:rPr>
      <w:sz w:val="24"/>
    </w:rPr>
  </w:style>
  <w:style w:type="paragraph" w:styleId="CG-LeftInd05FL05">
    <w:name w:val="CG-Left Ind 0.5 FL 0.5"/>
    <w:basedOn w:val="Normal"/>
    <w:qFormat/>
    <w:pPr>
      <w:spacing w:before="0" w:after="240"/>
      <w:ind w:firstLine="720" w:start="720" w:end="0"/>
    </w:pPr>
    <w:rPr>
      <w:sz w:val="24"/>
    </w:rPr>
  </w:style>
  <w:style w:type="paragraph" w:styleId="CG-LeftInd05">
    <w:name w:val="CG-Left Ind 0.5"/>
    <w:basedOn w:val="Normal"/>
    <w:qFormat/>
    <w:pPr>
      <w:spacing w:before="0" w:after="240"/>
      <w:ind w:hanging="0" w:start="720" w:end="0"/>
    </w:pPr>
    <w:rPr>
      <w:sz w:val="24"/>
    </w:rPr>
  </w:style>
  <w:style w:type="paragraph" w:styleId="CG-LeftInd1">
    <w:name w:val="CG-Left Ind 1"/>
    <w:basedOn w:val="Normal"/>
    <w:qFormat/>
    <w:pPr>
      <w:spacing w:before="0" w:after="240"/>
      <w:ind w:hanging="0" w:start="1440" w:end="0"/>
    </w:pPr>
    <w:rPr>
      <w:sz w:val="24"/>
    </w:rPr>
  </w:style>
  <w:style w:type="paragraph" w:styleId="CG-NumberA">
    <w:name w:val="CG-Number A"/>
    <w:basedOn w:val="Normal"/>
    <w:qFormat/>
    <w:pPr>
      <w:numPr>
        <w:ilvl w:val="0"/>
        <w:numId w:val="5"/>
      </w:numPr>
      <w:spacing w:before="0" w:after="240"/>
    </w:pPr>
    <w:rPr>
      <w:sz w:val="24"/>
    </w:rPr>
  </w:style>
  <w:style w:type="paragraph" w:styleId="CG-NumberL">
    <w:name w:val="CG-Number L"/>
    <w:basedOn w:val="Normal"/>
    <w:qFormat/>
    <w:pPr>
      <w:numPr>
        <w:ilvl w:val="0"/>
        <w:numId w:val="3"/>
      </w:numPr>
      <w:ind w:hanging="720" w:start="1440" w:end="0"/>
    </w:pPr>
    <w:rPr>
      <w:sz w:val="24"/>
    </w:rPr>
  </w:style>
  <w:style w:type="paragraph" w:styleId="CG-Numberl1">
    <w:name w:val="CG-Number l1"/>
    <w:basedOn w:val="Normal"/>
    <w:qFormat/>
    <w:pPr>
      <w:numPr>
        <w:ilvl w:val="0"/>
        <w:numId w:val="7"/>
      </w:numPr>
      <w:ind w:hanging="720" w:start="1440" w:end="0"/>
    </w:pPr>
    <w:rPr>
      <w:sz w:val="24"/>
    </w:rPr>
  </w:style>
  <w:style w:type="paragraph" w:styleId="CG-NumberR">
    <w:name w:val="CG-Number R"/>
    <w:basedOn w:val="Normal"/>
    <w:qFormat/>
    <w:pPr>
      <w:numPr>
        <w:ilvl w:val="0"/>
        <w:numId w:val="8"/>
      </w:numPr>
      <w:ind w:hanging="0" w:start="1440" w:end="0"/>
    </w:pPr>
    <w:rPr>
      <w:sz w:val="24"/>
    </w:rPr>
  </w:style>
  <w:style w:type="paragraph" w:styleId="CG-Numberr1">
    <w:name w:val="CG-Number r1"/>
    <w:basedOn w:val="Normal"/>
    <w:qFormat/>
    <w:pPr>
      <w:numPr>
        <w:ilvl w:val="0"/>
        <w:numId w:val="6"/>
      </w:numPr>
      <w:tabs>
        <w:tab w:val="clear" w:pos="720"/>
      </w:tabs>
      <w:ind w:hanging="720" w:start="1440" w:end="0"/>
    </w:pPr>
    <w:rPr>
      <w:sz w:val="24"/>
    </w:rPr>
  </w:style>
  <w:style w:type="paragraph" w:styleId="CG-SigLeft">
    <w:name w:val="CG-Sig Left"/>
    <w:basedOn w:val="Normal"/>
    <w:qFormat/>
    <w:pPr>
      <w:keepLines/>
      <w:tabs>
        <w:tab w:val="clear" w:pos="720"/>
        <w:tab w:val="left" w:pos="360" w:leader="none"/>
        <w:tab w:val="left" w:pos="4050" w:leader="none"/>
      </w:tabs>
      <w:spacing w:before="0" w:after="480"/>
      <w:ind w:hanging="360" w:start="360" w:end="0"/>
    </w:pPr>
    <w:rPr>
      <w:sz w:val="24"/>
    </w:rPr>
  </w:style>
  <w:style w:type="paragraph" w:styleId="CG-SigLtr">
    <w:name w:val="CG-Sig Ltr"/>
    <w:basedOn w:val="Normal"/>
    <w:qFormat/>
    <w:pPr>
      <w:keepNext w:val="true"/>
      <w:spacing w:before="0" w:after="720"/>
      <w:ind w:hanging="0" w:start="5040" w:end="0"/>
    </w:pPr>
    <w:rPr>
      <w:sz w:val="24"/>
    </w:rPr>
  </w:style>
  <w:style w:type="paragraph" w:styleId="CG-Sig">
    <w:name w:val="CG-Sig"/>
    <w:basedOn w:val="Normal"/>
    <w:qFormat/>
    <w:pPr>
      <w:keepLines/>
      <w:tabs>
        <w:tab w:val="clear" w:pos="720"/>
        <w:tab w:val="left" w:pos="5400" w:leader="none"/>
        <w:tab w:val="left" w:pos="8640" w:leader="none"/>
      </w:tabs>
      <w:spacing w:before="0" w:after="480"/>
      <w:ind w:hanging="360" w:start="5400" w:end="0"/>
    </w:pPr>
    <w:rPr>
      <w:sz w:val="24"/>
    </w:rPr>
  </w:style>
  <w:style w:type="paragraph" w:styleId="CG-SingleSp05">
    <w:name w:val="CG-Single Sp 0.5"/>
    <w:basedOn w:val="Normal"/>
    <w:qFormat/>
    <w:pPr>
      <w:spacing w:before="0" w:after="240"/>
      <w:ind w:firstLine="720" w:start="0" w:end="0"/>
    </w:pPr>
    <w:rPr>
      <w:sz w:val="24"/>
    </w:rPr>
  </w:style>
  <w:style w:type="paragraph" w:styleId="CG-SingleSp1">
    <w:name w:val="CG-Single Sp 1"/>
    <w:basedOn w:val="Normal"/>
    <w:qFormat/>
    <w:pPr>
      <w:spacing w:before="0" w:after="240"/>
      <w:ind w:firstLine="1440" w:start="0" w:end="0"/>
    </w:pPr>
    <w:rPr>
      <w:sz w:val="24"/>
    </w:rPr>
  </w:style>
  <w:style w:type="paragraph" w:styleId="CG-SingleSp">
    <w:name w:val="CG-Single Sp"/>
    <w:basedOn w:val="Normal"/>
    <w:qFormat/>
    <w:pPr>
      <w:spacing w:before="0" w:after="240"/>
    </w:pPr>
    <w:rPr>
      <w:sz w:val="24"/>
    </w:rPr>
  </w:style>
  <w:style w:type="paragraph" w:styleId="CG-Title-Center-Bold">
    <w:name w:val="CG-Title-Center-Bold"/>
    <w:basedOn w:val="Normal"/>
    <w:next w:val="CG-SingleSp1"/>
    <w:qFormat/>
    <w:pPr>
      <w:keepNext w:val="true"/>
      <w:spacing w:before="0" w:after="240"/>
      <w:jc w:val="center"/>
    </w:pPr>
    <w:rPr>
      <w:b/>
      <w:sz w:val="24"/>
    </w:rPr>
  </w:style>
  <w:style w:type="paragraph" w:styleId="CG-Title-Center-Underscore">
    <w:name w:val="CG-Title-Center-Underscore"/>
    <w:basedOn w:val="Normal"/>
    <w:next w:val="CG-SingleSp1"/>
    <w:qFormat/>
    <w:pPr>
      <w:keepNext w:val="true"/>
      <w:spacing w:before="0" w:after="240"/>
      <w:jc w:val="center"/>
    </w:pPr>
    <w:rPr>
      <w:sz w:val="24"/>
      <w:u w:val="single"/>
    </w:rPr>
  </w:style>
  <w:style w:type="paragraph" w:styleId="CG-Title-Left-Bold">
    <w:name w:val="CG-Title-Left-Bold"/>
    <w:basedOn w:val="Normal"/>
    <w:next w:val="CG-SingleSp1"/>
    <w:qFormat/>
    <w:pPr>
      <w:keepNext w:val="true"/>
      <w:spacing w:before="0" w:after="240"/>
    </w:pPr>
    <w:rPr>
      <w:b/>
      <w:sz w:val="24"/>
    </w:rPr>
  </w:style>
  <w:style w:type="paragraph" w:styleId="CG-Title-Left-Underscore">
    <w:name w:val="CG-Title-Left-Underscore"/>
    <w:basedOn w:val="Normal"/>
    <w:next w:val="CG-SingleSp1"/>
    <w:qFormat/>
    <w:pPr>
      <w:keepNext w:val="true"/>
      <w:spacing w:before="0" w:after="240"/>
    </w:pPr>
    <w:rPr>
      <w:sz w:val="24"/>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Header">
    <w:name w:val="header"/>
    <w:basedOn w:val="Normal"/>
    <w:pPr>
      <w:tabs>
        <w:tab w:val="clear" w:pos="720"/>
        <w:tab w:val="center" w:pos="4320" w:leader="none"/>
        <w:tab w:val="right" w:pos="8640" w:leader="none"/>
      </w:tabs>
    </w:pPr>
    <w:rPr>
      <w:sz w:val="24"/>
    </w:rPr>
  </w:style>
  <w:style w:type="paragraph" w:styleId="ListBullet">
    <w:name w:val="List Bullet"/>
    <w:basedOn w:val="Normal"/>
    <w:qFormat/>
    <w:pPr>
      <w:numPr>
        <w:ilvl w:val="0"/>
        <w:numId w:val="2"/>
      </w:numPr>
    </w:pPr>
    <w:rPr>
      <w:sz w:val="24"/>
    </w:rPr>
  </w:style>
  <w:style w:type="paragraph" w:styleId="CG-OneandOne-Half1">
    <w:name w:val="CG-One and One-Half 1"/>
    <w:basedOn w:val="Normal"/>
    <w:qFormat/>
    <w:pPr>
      <w:spacing w:lineRule="auto" w:line="360" w:before="0" w:after="120"/>
      <w:ind w:firstLine="1440" w:start="0" w:end="0"/>
    </w:pPr>
    <w:rPr/>
  </w:style>
  <w:style w:type="paragraph" w:styleId="EnvelopeAddress">
    <w:name w:val="envelope address"/>
    <w:basedOn w:val="Normal"/>
    <w:pPr>
      <w:ind w:hanging="0" w:start="2880" w:end="0"/>
    </w:pPr>
    <w:rPr/>
  </w:style>
  <w:style w:type="paragraph" w:styleId="EnvelopeReturn">
    <w:name w:val="envelope return"/>
    <w:basedOn w:val="Normal"/>
    <w:pPr/>
    <w:rPr>
      <w:sz w:val="20"/>
    </w:rPr>
  </w:style>
  <w:style w:type="paragraph" w:styleId="CG-Title-Center">
    <w:name w:val="CG-Title-Center"/>
    <w:basedOn w:val="Normal"/>
    <w:next w:val="Normal"/>
    <w:qFormat/>
    <w:pPr>
      <w:keepNext w:val="true"/>
      <w:spacing w:before="0" w:after="240"/>
      <w:jc w:val="center"/>
    </w:pPr>
    <w:rPr/>
  </w:style>
  <w:style w:type="paragraph" w:styleId="CG-Title-Left-Italic">
    <w:name w:val="CG-Title-Left-Italic"/>
    <w:basedOn w:val="Normal"/>
    <w:next w:val="Normal"/>
    <w:qFormat/>
    <w:pPr>
      <w:keepNext w:val="true"/>
      <w:spacing w:before="0" w:after="240"/>
    </w:pPr>
    <w:rPr>
      <w:i/>
    </w:rPr>
  </w:style>
  <w:style w:type="paragraph" w:styleId="CG-Title-LeftInd-Italic">
    <w:name w:val="CG-Title-Left Ind-Italic"/>
    <w:basedOn w:val="Normal"/>
    <w:next w:val="Normal"/>
    <w:qFormat/>
    <w:pPr>
      <w:keepNext w:val="true"/>
      <w:spacing w:before="0" w:after="240"/>
      <w:ind w:hanging="0" w:start="720" w:end="0"/>
    </w:pPr>
    <w:rPr>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New York.dot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2000-07-18T11:30:00Z</dcterms:created>
  <dc:creator>New York Office</dc:creator>
  <dc:description/>
  <dc:language>en-CA</dc:language>
  <cp:lastModifiedBy>New York Office</cp:lastModifiedBy>
  <dcterms:modified xsi:type="dcterms:W3CDTF">2000-07-18T11:33:00Z</dcterms:modified>
  <cp:revision>3</cp:revision>
  <dc:subject/>
  <dc:title>Proposed Amendments to the Commodity Futures Modernization Act of 2000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ibrary">
    <vt:lpwstr> </vt:lpwstr>
  </property>
  <property fmtid="{D5CDD505-2E9C-101B-9397-08002B2CF9AE}" pid="3" name="DocName">
    <vt:lpwstr> </vt:lpwstr>
  </property>
  <property fmtid="{D5CDD505-2E9C-101B-9397-08002B2CF9AE}" pid="4" name="DocNumber">
    <vt:lpwstr> </vt:lpwstr>
  </property>
  <property fmtid="{D5CDD505-2E9C-101B-9397-08002B2CF9AE}" pid="5" name="DocVersion">
    <vt:lpwstr> </vt:lpwstr>
  </property>
  <property fmtid="{D5CDD505-2E9C-101B-9397-08002B2CF9AE}" pid="6" name="FooterRightSideText">
    <vt:lpwstr> </vt:lpwstr>
  </property>
  <property fmtid="{D5CDD505-2E9C-101B-9397-08002B2CF9AE}" pid="7" name="SaveDocLibrary">
    <vt:lpwstr> </vt:lpwstr>
  </property>
  <property fmtid="{D5CDD505-2E9C-101B-9397-08002B2CF9AE}" pid="8" name="SaveDocName">
    <vt:lpwstr> </vt:lpwstr>
  </property>
  <property fmtid="{D5CDD505-2E9C-101B-9397-08002B2CF9AE}" pid="9" name="SaveDocNumber">
    <vt:lpwstr> </vt:lpwstr>
  </property>
  <property fmtid="{D5CDD505-2E9C-101B-9397-08002B2CF9AE}" pid="10" name="SaveDocVersion">
    <vt:lpwstr> </vt:lpwstr>
  </property>
  <property fmtid="{D5CDD505-2E9C-101B-9397-08002B2CF9AE}" pid="11" name="SaveFooterRightSideText">
    <vt:lpwstr> </vt:lpwstr>
  </property>
  <property fmtid="{D5CDD505-2E9C-101B-9397-08002B2CF9AE}" pid="12" name="iManageFooter">
    <vt:lpwstr> </vt:lpwstr>
  </property>
</Properties>
</file>