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tbl>
      <w:tblPr>
        <w:tblW w:w="10796" w:type="dxa"/>
        <w:jc w:val="start"/>
        <w:tblInd w:w="200" w:type="dxa"/>
        <w:tblLayout w:type="fixed"/>
        <w:tblCellMar>
          <w:top w:w="0" w:type="dxa"/>
          <w:start w:w="108" w:type="dxa"/>
          <w:bottom w:w="0" w:type="dxa"/>
          <w:end w:w="108" w:type="dxa"/>
        </w:tblCellMar>
      </w:tblPr>
      <w:tblGrid>
        <w:gridCol w:w="88"/>
        <w:gridCol w:w="620"/>
        <w:gridCol w:w="88"/>
        <w:gridCol w:w="5957"/>
        <w:gridCol w:w="88"/>
        <w:gridCol w:w="902"/>
        <w:gridCol w:w="88"/>
        <w:gridCol w:w="2877"/>
        <w:gridCol w:w="88"/>
      </w:tblGrid>
      <w:tr>
        <w:trPr>
          <w:trHeight w:val="450" w:hRule="exact"/>
        </w:trPr>
        <w:tc>
          <w:tcPr>
            <w:tcW w:w="708" w:type="dxa"/>
            <w:gridSpan w:val="2"/>
            <w:tcBorders/>
          </w:tcPr>
          <w:p>
            <w:pPr>
              <w:pStyle w:val="Normal"/>
              <w:ind w:start="-180" w:end="0"/>
              <w:jc w:val="end"/>
              <w:rPr>
                <w:sz w:val="16"/>
              </w:rPr>
            </w:pPr>
            <w:r>
              <w:rPr>
                <w:sz w:val="16"/>
              </w:rPr>
              <w:t>To:</w:t>
            </w:r>
          </w:p>
        </w:tc>
        <w:tc>
          <w:tcPr>
            <w:tcW w:w="6045" w:type="dxa"/>
            <w:gridSpan w:val="2"/>
            <w:tcBorders/>
          </w:tcPr>
          <w:p>
            <w:pPr>
              <w:pStyle w:val="To"/>
              <w:rPr/>
            </w:pPr>
            <w:r>
              <w:rPr/>
              <w:t>Jeff Skilling  ______________________________</w:t>
            </w:r>
          </w:p>
        </w:tc>
        <w:tc>
          <w:tcPr>
            <w:tcW w:w="990" w:type="dxa"/>
            <w:gridSpan w:val="2"/>
            <w:tcBorders/>
          </w:tcPr>
          <w:p>
            <w:pPr>
              <w:pStyle w:val="Normal"/>
              <w:snapToGrid w:val="false"/>
              <w:ind w:start="-180" w:end="0"/>
              <w:rPr/>
            </w:pPr>
            <w:r>
              <w:rPr/>
            </w:r>
          </w:p>
        </w:tc>
        <w:tc>
          <w:tcPr>
            <w:tcW w:w="2965" w:type="dxa"/>
            <w:gridSpan w:val="2"/>
            <w:tcBorders/>
          </w:tcPr>
          <w:p>
            <w:pPr>
              <w:pStyle w:val="Normal"/>
              <w:snapToGrid w:val="false"/>
              <w:rPr/>
            </w:pPr>
            <w:r>
              <w:rPr/>
            </w:r>
          </w:p>
        </w:tc>
        <w:tc>
          <w:tcPr>
            <w:tcW w:w="88" w:type="dxa"/>
            <w:tcBorders/>
            <w:tcMar>
              <w:start w:w="0" w:type="dxa"/>
              <w:end w:w="0" w:type="dxa"/>
            </w:tcMar>
          </w:tcPr>
          <w:p>
            <w:pPr>
              <w:pStyle w:val="Normal"/>
              <w:snapToGrid w:val="false"/>
              <w:rPr/>
            </w:pPr>
            <w:r>
              <w:rPr/>
            </w:r>
          </w:p>
        </w:tc>
      </w:tr>
      <w:tr>
        <w:trPr>
          <w:trHeight w:val="220" w:hRule="exact"/>
        </w:trPr>
        <w:tc>
          <w:tcPr>
            <w:tcW w:w="88" w:type="dxa"/>
            <w:tcBorders/>
            <w:tcMar>
              <w:start w:w="0" w:type="dxa"/>
              <w:end w:w="0" w:type="dxa"/>
            </w:tcMar>
          </w:tcPr>
          <w:p>
            <w:pPr>
              <w:pStyle w:val="TableContents"/>
              <w:rPr/>
            </w:pPr>
            <w:r>
              <w:rPr/>
            </w:r>
          </w:p>
        </w:tc>
        <w:tc>
          <w:tcPr>
            <w:tcW w:w="708" w:type="dxa"/>
            <w:gridSpan w:val="2"/>
            <w:tcBorders/>
          </w:tcPr>
          <w:p>
            <w:pPr>
              <w:pStyle w:val="Normal"/>
              <w:snapToGrid w:val="false"/>
              <w:ind w:start="-180" w:end="0"/>
              <w:jc w:val="end"/>
              <w:rPr>
                <w:sz w:val="20"/>
              </w:rPr>
            </w:pPr>
            <w:r>
              <w:rPr>
                <w:sz w:val="20"/>
              </w:rPr>
            </w:r>
          </w:p>
        </w:tc>
        <w:tc>
          <w:tcPr>
            <w:tcW w:w="6045" w:type="dxa"/>
            <w:gridSpan w:val="2"/>
            <w:tcBorders/>
          </w:tcPr>
          <w:p>
            <w:pPr>
              <w:pStyle w:val="Normal"/>
              <w:rPr>
                <w:sz w:val="20"/>
              </w:rPr>
            </w:pPr>
            <w:r>
              <w:rPr>
                <w:sz w:val="20"/>
              </w:rPr>
              <w:t>Rick Buy   _______________________________</w:t>
            </w:r>
          </w:p>
        </w:tc>
        <w:tc>
          <w:tcPr>
            <w:tcW w:w="990" w:type="dxa"/>
            <w:gridSpan w:val="2"/>
            <w:tcBorders/>
          </w:tcPr>
          <w:p>
            <w:pPr>
              <w:pStyle w:val="Normal"/>
              <w:snapToGrid w:val="false"/>
              <w:ind w:start="-180" w:end="0"/>
              <w:rPr>
                <w:sz w:val="18"/>
              </w:rPr>
            </w:pPr>
            <w:r>
              <w:rPr>
                <w:sz w:val="18"/>
              </w:rPr>
            </w:r>
          </w:p>
        </w:tc>
        <w:tc>
          <w:tcPr>
            <w:tcW w:w="2965" w:type="dxa"/>
            <w:gridSpan w:val="2"/>
            <w:tcBorders/>
          </w:tcPr>
          <w:p>
            <w:pPr>
              <w:pStyle w:val="Normal"/>
              <w:snapToGrid w:val="false"/>
              <w:rPr>
                <w:sz w:val="18"/>
              </w:rPr>
            </w:pPr>
            <w:r>
              <w:rPr>
                <w:sz w:val="18"/>
              </w:rPr>
            </w:r>
          </w:p>
        </w:tc>
      </w:tr>
      <w:tr>
        <w:trPr>
          <w:trHeight w:val="216" w:hRule="exact"/>
        </w:trPr>
        <w:tc>
          <w:tcPr>
            <w:tcW w:w="708" w:type="dxa"/>
            <w:gridSpan w:val="2"/>
            <w:tcBorders/>
          </w:tcPr>
          <w:p>
            <w:pPr>
              <w:pStyle w:val="Normal"/>
              <w:snapToGrid w:val="false"/>
              <w:ind w:start="-180" w:end="0"/>
              <w:jc w:val="end"/>
              <w:rPr>
                <w:sz w:val="20"/>
              </w:rPr>
            </w:pPr>
            <w:r>
              <w:rPr>
                <w:sz w:val="20"/>
              </w:rPr>
            </w:r>
          </w:p>
        </w:tc>
        <w:tc>
          <w:tcPr>
            <w:tcW w:w="6045" w:type="dxa"/>
            <w:gridSpan w:val="2"/>
            <w:tcBorders/>
          </w:tcPr>
          <w:p>
            <w:pPr>
              <w:pStyle w:val="Normal"/>
              <w:snapToGrid w:val="false"/>
              <w:rPr>
                <w:sz w:val="20"/>
              </w:rPr>
            </w:pPr>
            <w:r>
              <w:rPr>
                <w:sz w:val="20"/>
              </w:rPr>
            </w:r>
          </w:p>
        </w:tc>
        <w:tc>
          <w:tcPr>
            <w:tcW w:w="990" w:type="dxa"/>
            <w:gridSpan w:val="2"/>
            <w:tcBorders/>
          </w:tcPr>
          <w:p>
            <w:pPr>
              <w:pStyle w:val="Normal"/>
              <w:snapToGrid w:val="false"/>
              <w:ind w:start="-180" w:end="0"/>
              <w:rPr>
                <w:sz w:val="18"/>
              </w:rPr>
            </w:pPr>
            <w:r>
              <w:rPr>
                <w:sz w:val="18"/>
              </w:rPr>
            </w:r>
          </w:p>
        </w:tc>
        <w:tc>
          <w:tcPr>
            <w:tcW w:w="2965" w:type="dxa"/>
            <w:gridSpan w:val="2"/>
            <w:tcBorders/>
          </w:tcPr>
          <w:p>
            <w:pPr>
              <w:pStyle w:val="Normal"/>
              <w:snapToGrid w:val="false"/>
              <w:rPr>
                <w:sz w:val="18"/>
              </w:rPr>
            </w:pPr>
            <w:r>
              <w:rPr>
                <w:sz w:val="18"/>
              </w:rPr>
            </w:r>
          </w:p>
        </w:tc>
        <w:tc>
          <w:tcPr>
            <w:tcW w:w="88" w:type="dxa"/>
            <w:tcBorders/>
            <w:tcMar>
              <w:start w:w="0" w:type="dxa"/>
              <w:end w:w="0" w:type="dxa"/>
            </w:tcMar>
          </w:tcPr>
          <w:p>
            <w:pPr>
              <w:pStyle w:val="Normal"/>
              <w:snapToGrid w:val="false"/>
              <w:rPr>
                <w:sz w:val="18"/>
              </w:rPr>
            </w:pPr>
            <w:r>
              <w:rPr>
                <w:sz w:val="18"/>
              </w:rPr>
            </w:r>
          </w:p>
        </w:tc>
      </w:tr>
      <w:tr>
        <w:trPr>
          <w:trHeight w:val="300" w:hRule="exact"/>
        </w:trPr>
        <w:tc>
          <w:tcPr>
            <w:tcW w:w="708" w:type="dxa"/>
            <w:gridSpan w:val="2"/>
            <w:tcBorders/>
          </w:tcPr>
          <w:p>
            <w:pPr>
              <w:pStyle w:val="Normal"/>
              <w:ind w:start="-180" w:end="0"/>
              <w:jc w:val="end"/>
              <w:rPr>
                <w:sz w:val="16"/>
              </w:rPr>
            </w:pPr>
            <w:r>
              <w:rPr>
                <w:sz w:val="16"/>
              </w:rPr>
              <w:t>From:</w:t>
            </w:r>
          </w:p>
        </w:tc>
        <w:tc>
          <w:tcPr>
            <w:tcW w:w="6045" w:type="dxa"/>
            <w:gridSpan w:val="2"/>
            <w:tcBorders/>
          </w:tcPr>
          <w:p>
            <w:pPr>
              <w:pStyle w:val="From"/>
              <w:rPr/>
            </w:pPr>
            <w:r>
              <w:rPr/>
              <w:t>Tom Gros</w:t>
            </w:r>
          </w:p>
        </w:tc>
        <w:tc>
          <w:tcPr>
            <w:tcW w:w="990" w:type="dxa"/>
            <w:gridSpan w:val="2"/>
            <w:tcBorders/>
          </w:tcPr>
          <w:p>
            <w:pPr>
              <w:pStyle w:val="Normal"/>
              <w:ind w:start="-180" w:end="0"/>
              <w:jc w:val="end"/>
              <w:rPr>
                <w:sz w:val="16"/>
              </w:rPr>
            </w:pPr>
            <w:r>
              <w:rPr>
                <w:sz w:val="16"/>
              </w:rPr>
              <w:t>Department:</w:t>
            </w:r>
          </w:p>
        </w:tc>
        <w:tc>
          <w:tcPr>
            <w:tcW w:w="2965" w:type="dxa"/>
            <w:gridSpan w:val="2"/>
            <w:tcBorders/>
          </w:tcPr>
          <w:p>
            <w:pPr>
              <w:pStyle w:val="Department"/>
              <w:rPr/>
            </w:pPr>
            <w:bookmarkStart w:id="0" w:name="From"/>
            <w:bookmarkEnd w:id="0"/>
            <w:r>
              <w:rPr/>
              <w:t>Global Bandwidth Trading</w:t>
            </w:r>
          </w:p>
        </w:tc>
        <w:tc>
          <w:tcPr>
            <w:tcW w:w="88" w:type="dxa"/>
            <w:tcBorders/>
            <w:tcMar>
              <w:start w:w="0" w:type="dxa"/>
              <w:end w:w="0" w:type="dxa"/>
            </w:tcMar>
          </w:tcPr>
          <w:p>
            <w:pPr>
              <w:pStyle w:val="Normal"/>
              <w:snapToGrid w:val="false"/>
              <w:rPr/>
            </w:pPr>
            <w:r>
              <w:rPr/>
            </w:r>
          </w:p>
        </w:tc>
      </w:tr>
      <w:tr>
        <w:trPr>
          <w:trHeight w:val="216" w:hRule="exact"/>
        </w:trPr>
        <w:tc>
          <w:tcPr>
            <w:tcW w:w="708" w:type="dxa"/>
            <w:gridSpan w:val="2"/>
            <w:tcBorders/>
          </w:tcPr>
          <w:p>
            <w:pPr>
              <w:pStyle w:val="Normal"/>
              <w:snapToGrid w:val="false"/>
              <w:ind w:start="-180" w:end="0"/>
              <w:jc w:val="end"/>
              <w:rPr>
                <w:sz w:val="18"/>
              </w:rPr>
            </w:pPr>
            <w:r>
              <w:rPr>
                <w:sz w:val="18"/>
              </w:rPr>
            </w:r>
          </w:p>
        </w:tc>
        <w:tc>
          <w:tcPr>
            <w:tcW w:w="6045" w:type="dxa"/>
            <w:gridSpan w:val="2"/>
            <w:tcBorders/>
          </w:tcPr>
          <w:p>
            <w:pPr>
              <w:pStyle w:val="Normal"/>
              <w:snapToGrid w:val="false"/>
              <w:rPr>
                <w:sz w:val="18"/>
              </w:rPr>
            </w:pPr>
            <w:r>
              <w:rPr>
                <w:sz w:val="18"/>
              </w:rPr>
            </w:r>
          </w:p>
        </w:tc>
        <w:tc>
          <w:tcPr>
            <w:tcW w:w="990" w:type="dxa"/>
            <w:gridSpan w:val="2"/>
            <w:tcBorders/>
          </w:tcPr>
          <w:p>
            <w:pPr>
              <w:pStyle w:val="Normal"/>
              <w:snapToGrid w:val="false"/>
              <w:ind w:start="-180" w:end="0"/>
              <w:rPr>
                <w:sz w:val="18"/>
              </w:rPr>
            </w:pPr>
            <w:r>
              <w:rPr>
                <w:sz w:val="18"/>
              </w:rPr>
            </w:r>
          </w:p>
        </w:tc>
        <w:tc>
          <w:tcPr>
            <w:tcW w:w="2965" w:type="dxa"/>
            <w:gridSpan w:val="2"/>
            <w:tcBorders/>
          </w:tcPr>
          <w:p>
            <w:pPr>
              <w:pStyle w:val="Normal"/>
              <w:snapToGrid w:val="false"/>
              <w:rPr>
                <w:sz w:val="18"/>
              </w:rPr>
            </w:pPr>
            <w:r>
              <w:rPr>
                <w:sz w:val="18"/>
              </w:rPr>
            </w:r>
          </w:p>
        </w:tc>
        <w:tc>
          <w:tcPr>
            <w:tcW w:w="88" w:type="dxa"/>
            <w:tcBorders/>
            <w:tcMar>
              <w:start w:w="0" w:type="dxa"/>
              <w:end w:w="0" w:type="dxa"/>
            </w:tcMar>
          </w:tcPr>
          <w:p>
            <w:pPr>
              <w:pStyle w:val="Normal"/>
              <w:snapToGrid w:val="false"/>
              <w:rPr>
                <w:sz w:val="18"/>
              </w:rPr>
            </w:pPr>
            <w:r>
              <w:rPr>
                <w:sz w:val="18"/>
              </w:rPr>
            </w:r>
          </w:p>
        </w:tc>
      </w:tr>
      <w:tr>
        <w:trPr>
          <w:trHeight w:val="600" w:hRule="exact"/>
        </w:trPr>
        <w:tc>
          <w:tcPr>
            <w:tcW w:w="708" w:type="dxa"/>
            <w:gridSpan w:val="2"/>
            <w:tcBorders>
              <w:bottom w:val="single" w:sz="12" w:space="0" w:color="000000"/>
            </w:tcBorders>
          </w:tcPr>
          <w:p>
            <w:pPr>
              <w:pStyle w:val="Normal"/>
              <w:ind w:start="-180" w:end="0"/>
              <w:jc w:val="end"/>
              <w:rPr>
                <w:sz w:val="16"/>
              </w:rPr>
            </w:pPr>
            <w:r>
              <w:rPr>
                <w:sz w:val="16"/>
              </w:rPr>
              <w:t>Subject:</w:t>
            </w:r>
          </w:p>
        </w:tc>
        <w:tc>
          <w:tcPr>
            <w:tcW w:w="6045" w:type="dxa"/>
            <w:gridSpan w:val="2"/>
            <w:tcBorders>
              <w:bottom w:val="single" w:sz="12" w:space="0" w:color="000000"/>
            </w:tcBorders>
          </w:tcPr>
          <w:p>
            <w:pPr>
              <w:pStyle w:val="Subject"/>
              <w:rPr/>
            </w:pPr>
            <w:r>
              <w:rPr/>
              <w:t xml:space="preserve">Risk Control Policy for Bandwidth Trading – </w:t>
            </w:r>
            <w:r>
              <w:rPr>
                <w:b/>
              </w:rPr>
              <w:t>6-Month Extension</w:t>
            </w:r>
          </w:p>
        </w:tc>
        <w:tc>
          <w:tcPr>
            <w:tcW w:w="990" w:type="dxa"/>
            <w:gridSpan w:val="2"/>
            <w:tcBorders>
              <w:bottom w:val="single" w:sz="12" w:space="0" w:color="000000"/>
            </w:tcBorders>
          </w:tcPr>
          <w:p>
            <w:pPr>
              <w:pStyle w:val="Normal"/>
              <w:ind w:start="-180" w:end="0"/>
              <w:jc w:val="end"/>
              <w:rPr>
                <w:sz w:val="16"/>
              </w:rPr>
            </w:pPr>
            <w:r>
              <w:rPr>
                <w:sz w:val="16"/>
              </w:rPr>
              <w:t>Date:</w:t>
            </w:r>
          </w:p>
        </w:tc>
        <w:tc>
          <w:tcPr>
            <w:tcW w:w="2965" w:type="dxa"/>
            <w:gridSpan w:val="2"/>
            <w:tcBorders>
              <w:bottom w:val="single" w:sz="12" w:space="0" w:color="000000"/>
            </w:tcBorders>
          </w:tcPr>
          <w:p>
            <w:pPr>
              <w:pStyle w:val="Date"/>
              <w:rPr/>
            </w:pPr>
            <w:r>
              <w:rPr/>
              <w:t>January 10, 2000</w:t>
            </w:r>
          </w:p>
        </w:tc>
        <w:tc>
          <w:tcPr>
            <w:tcW w:w="88" w:type="dxa"/>
            <w:tcBorders/>
            <w:tcMar>
              <w:start w:w="0" w:type="dxa"/>
              <w:end w:w="0" w:type="dxa"/>
            </w:tcMar>
          </w:tcPr>
          <w:p>
            <w:pPr>
              <w:pStyle w:val="Normal"/>
              <w:snapToGrid w:val="false"/>
              <w:rPr/>
            </w:pPr>
            <w:r>
              <w:rPr/>
            </w:r>
          </w:p>
        </w:tc>
      </w:tr>
    </w:tbl>
    <w:p>
      <w:pPr>
        <w:pStyle w:val="Body"/>
        <w:rPr/>
      </w:pPr>
      <w:r>
        <w:rPr/>
      </w:r>
      <w:bookmarkStart w:id="1" w:name="StartOfMemo"/>
      <w:bookmarkStart w:id="2" w:name="StartOfMemo"/>
      <w:bookmarkEnd w:id="2"/>
    </w:p>
    <w:p>
      <w:pPr>
        <w:pStyle w:val="Normal"/>
        <w:rPr>
          <w:b/>
          <w:sz w:val="20"/>
        </w:rPr>
      </w:pPr>
      <w:r>
        <w:rPr>
          <w:b/>
          <w:sz w:val="20"/>
        </w:rPr>
        <w:t>Background Information</w:t>
      </w:r>
    </w:p>
    <w:p>
      <w:pPr>
        <w:pStyle w:val="Normal"/>
        <w:rPr>
          <w:sz w:val="20"/>
        </w:rPr>
      </w:pPr>
      <w:r>
        <w:rPr>
          <w:sz w:val="20"/>
        </w:rPr>
        <w:t xml:space="preserve">The telecommunications market in North America has strong parallels to both the natural gas transportation and power transmission markets: a series of networks, operated by separate firms, cross the continent carrying electronic information.  </w:t>
      </w:r>
    </w:p>
    <w:p>
      <w:pPr>
        <w:pStyle w:val="Normal"/>
        <w:rPr>
          <w:sz w:val="20"/>
        </w:rPr>
      </w:pPr>
      <w:r>
        <w:rPr>
          <w:sz w:val="20"/>
        </w:rPr>
      </w:r>
    </w:p>
    <w:p>
      <w:pPr>
        <w:pStyle w:val="Normal"/>
        <w:rPr>
          <w:sz w:val="20"/>
        </w:rPr>
      </w:pPr>
      <w:r>
        <w:rPr>
          <w:sz w:val="20"/>
        </w:rPr>
        <w:t>The commodity itself is the transportation system. The information is carried by different “flavors” of bandwidth depending on the “density” of the information.  Using the natural gas analogy, bandwidth is the diameter of the pipe.  At the low end of telecommunications, voice is carried over dedicated, switched networks, which typically have a bandwidth of 64,000 bits-per-second, or 64kbps.  On the high end, bandwidth demand is considerably greater.  Consider the video conference example below:</w:t>
      </w:r>
    </w:p>
    <w:p>
      <w:pPr>
        <w:pStyle w:val="Normal"/>
        <w:rPr>
          <w:sz w:val="20"/>
        </w:rPr>
      </w:pPr>
      <w:r>
        <w:rPr>
          <w:sz w:val="20"/>
        </w:rPr>
      </w:r>
    </w:p>
    <w:p>
      <w:pPr>
        <w:pStyle w:val="Normal"/>
        <w:rPr>
          <w:sz w:val="20"/>
        </w:rPr>
      </w:pPr>
      <w:r>
        <w:rPr>
          <w:sz w:val="20"/>
        </w:rPr>
        <w:tab/>
        <w:t>A video screen 1000x1000 pixels</w:t>
        <w:tab/>
        <w:tab/>
        <w:t>1,000,000</w:t>
      </w:r>
    </w:p>
    <w:p>
      <w:pPr>
        <w:pStyle w:val="Normal"/>
        <w:rPr>
          <w:sz w:val="20"/>
        </w:rPr>
      </w:pPr>
      <w:r>
        <w:rPr>
          <w:sz w:val="20"/>
        </w:rPr>
        <w:tab/>
        <w:t>3 colors , each requiring 8 bits</w:t>
        <w:tab/>
        <w:tab/>
        <w:t>24</w:t>
        <w:tab/>
      </w:r>
    </w:p>
    <w:p>
      <w:pPr>
        <w:pStyle w:val="Normal"/>
        <w:rPr>
          <w:sz w:val="20"/>
        </w:rPr>
      </w:pPr>
      <w:r>
        <w:rPr>
          <w:sz w:val="20"/>
        </w:rPr>
        <w:tab/>
        <w:t>Full duplex, 2-way communication</w:t>
        <w:tab/>
        <w:tab/>
        <w:t>2</w:t>
      </w:r>
    </w:p>
    <w:p>
      <w:pPr>
        <w:pStyle w:val="Normal"/>
        <w:rPr/>
      </w:pPr>
      <w:r>
        <w:rPr>
          <w:sz w:val="20"/>
        </w:rPr>
        <w:tab/>
        <w:t xml:space="preserve">Video refreshed 30 times a second </w:t>
        <w:tab/>
      </w:r>
      <w:r>
        <w:rPr>
          <w:sz w:val="20"/>
          <w:u w:val="double"/>
        </w:rPr>
        <w:t xml:space="preserve">30       </w:t>
      </w:r>
    </w:p>
    <w:p>
      <w:pPr>
        <w:pStyle w:val="Normal"/>
        <w:rPr>
          <w:sz w:val="20"/>
        </w:rPr>
      </w:pPr>
      <w:r>
        <w:rPr>
          <w:sz w:val="20"/>
        </w:rPr>
        <w:tab/>
        <w:tab/>
        <w:tab/>
        <w:tab/>
        <w:tab/>
        <w:tab/>
        <w:tab/>
        <w:t>1,440,000,000  or 1.44 Gbps!</w:t>
      </w:r>
    </w:p>
    <w:p>
      <w:pPr>
        <w:pStyle w:val="Normal"/>
        <w:rPr>
          <w:sz w:val="20"/>
        </w:rPr>
      </w:pPr>
      <w:r>
        <w:rPr>
          <w:sz w:val="20"/>
        </w:rPr>
      </w:r>
    </w:p>
    <w:p>
      <w:pPr>
        <w:pStyle w:val="Normal"/>
        <w:rPr>
          <w:sz w:val="20"/>
        </w:rPr>
      </w:pPr>
      <w:r>
        <w:rPr>
          <w:sz w:val="20"/>
        </w:rPr>
        <w:t>Currently, no liquid market exists for bandwidth trading.  The post-monopolistic industry has an infrastructure that was designed and still operates largely as a group of (surprisingly) independent, unregulated networks.  Because the market is still in a nascent stage, pricing between city-pairs reflects strong correlations, despite differences in distance or demand.  “Trades” are typically 20-year leases of copper or fiber optic segments with varying degrees of bandwidth capacity and QoS (quality of service).   A few on-line brokers (Band-X, Arbinet, and RateXchange) act as bulletin board “dating agencies”.  These have failed largely because there is no standardized commodity to trade.  We will change that.</w:t>
      </w:r>
    </w:p>
    <w:p>
      <w:pPr>
        <w:pStyle w:val="Normal"/>
        <w:rPr>
          <w:sz w:val="20"/>
        </w:rPr>
      </w:pPr>
      <w:r>
        <w:rPr>
          <w:sz w:val="20"/>
        </w:rPr>
      </w:r>
    </w:p>
    <w:p>
      <w:pPr>
        <w:pStyle w:val="Normal"/>
        <w:rPr>
          <w:sz w:val="20"/>
        </w:rPr>
      </w:pPr>
      <w:r>
        <w:rPr>
          <w:sz w:val="20"/>
        </w:rPr>
      </w:r>
    </w:p>
    <w:p>
      <w:pPr>
        <w:pStyle w:val="Subject"/>
        <w:tabs>
          <w:tab w:val="left" w:pos="540" w:leader="none"/>
        </w:tabs>
        <w:rPr>
          <w:b/>
        </w:rPr>
      </w:pPr>
      <w:r>
        <w:rPr>
          <w:b/>
        </w:rPr>
        <w:t>The Value Proposition</w:t>
      </w:r>
    </w:p>
    <w:p>
      <w:pPr>
        <w:pStyle w:val="Normal"/>
        <w:rPr>
          <w:sz w:val="20"/>
        </w:rPr>
      </w:pPr>
      <w:r>
        <w:rPr>
          <w:sz w:val="20"/>
        </w:rPr>
        <w:t>Our current plan calls for the creation of a two-tiered market—a TDM-based market traded in increments  of 1.5 (T-1) Mbps, and an IP-based market traded in increments of 45.5 (DS-3) Mbps.  The market has to be tiered because bandwidth is not purely additive beyond a defined range—capital requirements to achieve additional bandwidth mean bandwidth cost follows a stepped path.  The benchmark segment will be the most liquid route—East Coast to West Coast.  A brief description of each follows.  Sample confirms for each are attached.</w:t>
      </w:r>
    </w:p>
    <w:p>
      <w:pPr>
        <w:pStyle w:val="Normal"/>
        <w:rPr>
          <w:sz w:val="20"/>
        </w:rPr>
      </w:pPr>
      <w:r>
        <w:rPr>
          <w:sz w:val="20"/>
        </w:rPr>
      </w:r>
    </w:p>
    <w:p>
      <w:pPr>
        <w:pStyle w:val="Normal"/>
        <w:ind w:start="720" w:end="0"/>
        <w:rPr>
          <w:sz w:val="20"/>
        </w:rPr>
      </w:pPr>
      <w:r>
        <w:rPr>
          <w:sz w:val="20"/>
        </w:rPr>
        <w:t>TDM T-1 Market – The Time Division Multiplexing (TDM) market represents the low end of “bandwidth trading”.  T-1 lines carry up to 1.5 Mbps each.  Each T-1 is a dedicated line—regardless of use, it is always available exclusively to the lessee.  Corporations including Enron typically lease these to link their computer networks and videoconference facilities.  Most recently, ECT leased a T-1 line to link its New York office with Houston.  Players in this market should be quite numerous, including large enterprises (e.g. S&amp;P 500 firms) and the telecommunications industry.   The key constraint in developing this market will be the fact that the likely participants are not necessarily linked at major pooling points.  This constraint is itself a business opportunity for Enron that will be detailed separately.  Another minor constraint will be the acceptance of standardized default language.</w:t>
      </w:r>
    </w:p>
    <w:p>
      <w:pPr>
        <w:pStyle w:val="Normal"/>
        <w:ind w:start="720" w:end="0"/>
        <w:rPr>
          <w:sz w:val="20"/>
        </w:rPr>
      </w:pPr>
      <w:r>
        <w:rPr>
          <w:sz w:val="20"/>
        </w:rPr>
      </w:r>
    </w:p>
    <w:p>
      <w:pPr>
        <w:pStyle w:val="BodyTextIndent2"/>
        <w:rPr/>
      </w:pPr>
      <w:r>
        <w:rPr/>
        <w:t>IP DS-3 Market – An internet protocol (IP) DS-3 market represents the smallest increment of the higher end of bandwidth.  Under IP, data packets are treated more like elements in a diversified portfolio—no dedicated line actually exists, but there is a statistically-defined probability of deliverability.  This is the key constraint—we will have to define a level of “firm” service (say, 99%) acceptable to the industry and  work with hardware manufacturers to develop a means of auditing the level of service actually provided.  The constraints of the TDM T-1 market also apply.  Key players include large data and video consumers (e.g. American Express, Sony, ABC, AOL) and the telecommunications industry.</w:t>
      </w:r>
    </w:p>
    <w:p>
      <w:pPr>
        <w:pStyle w:val="Normal"/>
        <w:ind w:start="720" w:end="0"/>
        <w:rPr>
          <w:sz w:val="20"/>
        </w:rPr>
      </w:pPr>
      <w:r>
        <w:rPr>
          <w:sz w:val="20"/>
        </w:rPr>
      </w:r>
    </w:p>
    <w:p>
      <w:pPr>
        <w:pStyle w:val="Normal"/>
        <w:ind w:start="720" w:end="0"/>
        <w:rPr>
          <w:sz w:val="20"/>
        </w:rPr>
      </w:pPr>
      <w:r>
        <w:rPr>
          <w:sz w:val="20"/>
        </w:rPr>
      </w:r>
    </w:p>
    <w:p>
      <w:pPr>
        <w:pStyle w:val="Normal"/>
        <w:rPr>
          <w:sz w:val="20"/>
        </w:rPr>
      </w:pPr>
      <w:r>
        <w:rPr>
          <w:sz w:val="20"/>
        </w:rPr>
        <w:t>Enron has sources of competitive advantage in this market.  In the physical market, Enron is building a state-of-the-art, low-cost backbone to deliver bandwidth.  This is tied to a unique architecture that promises to convert the internet to a dramatically more useful tool.  In the trading arena, Enron is the only significant industry player with the trading systems, culture, and pool of commodity trading talent necessary for early success.  The closest competitor in this regard, Williams, has not shown any interest in developing a trading approach to telecommunications.</w:t>
      </w:r>
    </w:p>
    <w:p>
      <w:pPr>
        <w:pStyle w:val="Normal"/>
        <w:rPr>
          <w:sz w:val="20"/>
        </w:rPr>
      </w:pPr>
      <w:r>
        <w:rPr>
          <w:sz w:val="20"/>
        </w:rPr>
      </w:r>
    </w:p>
    <w:p>
      <w:pPr>
        <w:pStyle w:val="Normal"/>
        <w:rPr>
          <w:sz w:val="20"/>
        </w:rPr>
      </w:pPr>
      <w:r>
        <w:rPr>
          <w:b/>
          <w:sz w:val="20"/>
        </w:rPr>
        <w:t>Trading Strategy</w:t>
      </w:r>
    </w:p>
    <w:p>
      <w:pPr>
        <w:pStyle w:val="Normal"/>
        <w:rPr>
          <w:sz w:val="20"/>
        </w:rPr>
      </w:pPr>
      <w:r>
        <w:rPr>
          <w:sz w:val="20"/>
        </w:rPr>
        <w:t>Currently, the trading strategy centers around swapping capacity between city-pairs.  Our main focus initially, and the source of our benchmark, is the Los Angeles-New York City route, based upon DS3 for the unit of measurement.</w:t>
      </w:r>
    </w:p>
    <w:p>
      <w:pPr>
        <w:pStyle w:val="Normal"/>
        <w:rPr>
          <w:sz w:val="20"/>
        </w:rPr>
      </w:pPr>
      <w:r>
        <w:rPr>
          <w:sz w:val="20"/>
        </w:rPr>
      </w:r>
    </w:p>
    <w:p>
      <w:pPr>
        <w:pStyle w:val="Subject"/>
        <w:tabs>
          <w:tab w:val="left" w:pos="540" w:leader="none"/>
        </w:tabs>
        <w:rPr>
          <w:b/>
        </w:rPr>
      </w:pPr>
      <w:r>
        <w:rPr>
          <w:b/>
        </w:rPr>
        <w:t>The Team</w:t>
      </w:r>
    </w:p>
    <w:p>
      <w:pPr>
        <w:pStyle w:val="Normal"/>
        <w:rPr>
          <w:sz w:val="20"/>
        </w:rPr>
      </w:pPr>
      <w:r>
        <w:rPr>
          <w:sz w:val="20"/>
        </w:rPr>
        <w:t>Bandwidth trading is led by Tom Gros, who reports to Joe Hirko (Chairman, EC) and Greg Whalley (MD, ECT).  A complete list of risk management contacts for this operation is presented below:</w:t>
      </w:r>
    </w:p>
    <w:p>
      <w:pPr>
        <w:pStyle w:val="Normal"/>
        <w:rPr>
          <w:sz w:val="20"/>
        </w:rPr>
      </w:pPr>
      <w:r>
        <w:rPr>
          <w:sz w:val="20"/>
        </w:rPr>
      </w:r>
    </w:p>
    <w:p>
      <w:pPr>
        <w:pStyle w:val="Normal"/>
        <w:ind w:start="720" w:end="0"/>
        <w:rPr>
          <w:sz w:val="20"/>
        </w:rPr>
      </w:pPr>
      <w:r>
        <w:rPr>
          <w:sz w:val="20"/>
        </w:rPr>
        <w:t>Back Office</w:t>
        <w:tab/>
        <w:t>Scott Pleus</w:t>
      </w:r>
    </w:p>
    <w:p>
      <w:pPr>
        <w:pStyle w:val="Normal"/>
        <w:ind w:start="720" w:end="0"/>
        <w:rPr>
          <w:sz w:val="20"/>
        </w:rPr>
      </w:pPr>
      <w:r>
        <w:rPr>
          <w:sz w:val="20"/>
        </w:rPr>
        <w:t>Controls</w:t>
        <w:tab/>
        <w:t>Ted Murphy</w:t>
      </w:r>
    </w:p>
    <w:p>
      <w:pPr>
        <w:pStyle w:val="Normal"/>
        <w:ind w:start="720" w:end="0"/>
        <w:rPr>
          <w:sz w:val="20"/>
        </w:rPr>
      </w:pPr>
      <w:r>
        <w:rPr>
          <w:sz w:val="20"/>
        </w:rPr>
        <w:t>Credit</w:t>
        <w:tab/>
        <w:tab/>
        <w:t>Tanya Rohauer</w:t>
      </w:r>
    </w:p>
    <w:p>
      <w:pPr>
        <w:pStyle w:val="Normal"/>
        <w:ind w:start="720" w:end="0"/>
        <w:rPr>
          <w:sz w:val="20"/>
        </w:rPr>
      </w:pPr>
      <w:r>
        <w:rPr>
          <w:sz w:val="20"/>
        </w:rPr>
        <w:t>Legal</w:t>
        <w:tab/>
        <w:tab/>
        <w:t>Alan Aronowitz and Harry Collins</w:t>
      </w:r>
    </w:p>
    <w:p>
      <w:pPr>
        <w:pStyle w:val="Normal"/>
        <w:ind w:start="720" w:end="0"/>
        <w:rPr>
          <w:sz w:val="20"/>
        </w:rPr>
      </w:pPr>
      <w:r>
        <w:rPr>
          <w:sz w:val="20"/>
        </w:rPr>
        <w:t>Mapping</w:t>
        <w:tab/>
        <w:t>Keith Fraley</w:t>
      </w:r>
    </w:p>
    <w:p>
      <w:pPr>
        <w:pStyle w:val="Normal"/>
        <w:ind w:start="720" w:end="0"/>
        <w:rPr>
          <w:sz w:val="20"/>
        </w:rPr>
      </w:pPr>
      <w:r>
        <w:rPr>
          <w:sz w:val="20"/>
        </w:rPr>
        <w:t>Origination</w:t>
        <w:tab/>
        <w:t>Ted Seitz and Scott Yeager (EC)</w:t>
      </w:r>
    </w:p>
    <w:p>
      <w:pPr>
        <w:pStyle w:val="Normal"/>
        <w:ind w:start="720" w:end="0"/>
        <w:rPr>
          <w:sz w:val="20"/>
        </w:rPr>
      </w:pPr>
      <w:r>
        <w:rPr>
          <w:sz w:val="20"/>
        </w:rPr>
        <w:t>Tax</w:t>
        <w:tab/>
        <w:tab/>
        <w:t>Jordan Mintz</w:t>
      </w:r>
    </w:p>
    <w:p>
      <w:pPr>
        <w:pStyle w:val="Normal"/>
        <w:ind w:start="720" w:end="0"/>
        <w:rPr>
          <w:sz w:val="20"/>
        </w:rPr>
      </w:pPr>
      <w:r>
        <w:rPr>
          <w:sz w:val="20"/>
        </w:rPr>
        <w:t>Technical</w:t>
        <w:tab/>
        <w:t>Stan Hanks (EC)</w:t>
      </w:r>
    </w:p>
    <w:p>
      <w:pPr>
        <w:pStyle w:val="Normal"/>
        <w:ind w:start="720" w:end="0"/>
        <w:rPr>
          <w:sz w:val="20"/>
        </w:rPr>
      </w:pPr>
      <w:r>
        <w:rPr>
          <w:sz w:val="20"/>
        </w:rPr>
        <w:t>Regulatory</w:t>
        <w:tab/>
        <w:t>Steve Kean</w:t>
      </w:r>
    </w:p>
    <w:p>
      <w:pPr>
        <w:pStyle w:val="Normal"/>
        <w:ind w:start="720" w:end="0"/>
        <w:rPr>
          <w:sz w:val="20"/>
        </w:rPr>
      </w:pPr>
      <w:r>
        <w:rPr>
          <w:sz w:val="20"/>
        </w:rPr>
        <w:t>Research</w:t>
        <w:tab/>
        <w:t>Vince Kaminski</w:t>
      </w:r>
    </w:p>
    <w:p>
      <w:pPr>
        <w:pStyle w:val="Normal"/>
        <w:ind w:start="720" w:end="0"/>
        <w:rPr>
          <w:sz w:val="20"/>
        </w:rPr>
      </w:pPr>
      <w:r>
        <w:rPr>
          <w:sz w:val="20"/>
        </w:rPr>
        <w:t>Systems</w:t>
        <w:tab/>
        <w:t>Anthony Dayao</w:t>
      </w:r>
    </w:p>
    <w:p>
      <w:pPr>
        <w:pStyle w:val="Normal"/>
        <w:rPr>
          <w:sz w:val="20"/>
        </w:rPr>
      </w:pPr>
      <w:r>
        <w:rPr>
          <w:sz w:val="20"/>
        </w:rPr>
      </w:r>
      <w:r>
        <w:br w:type="page"/>
      </w:r>
    </w:p>
    <w:p>
      <w:pPr>
        <w:pStyle w:val="Normal"/>
        <w:rPr>
          <w:sz w:val="20"/>
        </w:rPr>
      </w:pPr>
      <w:r>
        <w:rPr>
          <w:sz w:val="20"/>
        </w:rPr>
      </w:r>
    </w:p>
    <w:p>
      <w:pPr>
        <w:pStyle w:val="Subject"/>
        <w:tabs>
          <w:tab w:val="left" w:pos="540" w:leader="none"/>
        </w:tabs>
        <w:rPr>
          <w:b/>
        </w:rPr>
      </w:pPr>
      <w:r>
        <w:rPr>
          <w:b/>
        </w:rPr>
        <w:t>Expected Books</w:t>
      </w:r>
    </w:p>
    <w:p>
      <w:pPr>
        <w:pStyle w:val="Normal"/>
        <w:rPr>
          <w:sz w:val="20"/>
        </w:rPr>
      </w:pPr>
      <w:r>
        <w:rPr>
          <w:sz w:val="20"/>
        </w:rPr>
        <w:t>The books will likely develop along the following lines:</w:t>
      </w:r>
    </w:p>
    <w:p>
      <w:pPr>
        <w:pStyle w:val="Normal"/>
        <w:numPr>
          <w:ilvl w:val="0"/>
          <w:numId w:val="6"/>
        </w:numPr>
        <w:rPr>
          <w:sz w:val="20"/>
        </w:rPr>
      </w:pPr>
      <w:r>
        <w:rPr>
          <w:sz w:val="20"/>
        </w:rPr>
        <w:t>Physical and financial</w:t>
      </w:r>
    </w:p>
    <w:p>
      <w:pPr>
        <w:pStyle w:val="Normal"/>
        <w:numPr>
          <w:ilvl w:val="0"/>
          <w:numId w:val="6"/>
        </w:numPr>
        <w:rPr>
          <w:sz w:val="20"/>
        </w:rPr>
      </w:pPr>
      <w:r>
        <w:rPr>
          <w:sz w:val="20"/>
        </w:rPr>
        <w:t>Underlying and options</w:t>
      </w:r>
    </w:p>
    <w:p>
      <w:pPr>
        <w:pStyle w:val="Normal"/>
        <w:numPr>
          <w:ilvl w:val="0"/>
          <w:numId w:val="6"/>
        </w:numPr>
        <w:rPr>
          <w:sz w:val="20"/>
        </w:rPr>
      </w:pPr>
      <w:r>
        <w:rPr>
          <w:sz w:val="20"/>
        </w:rPr>
        <w:t>Monthly term, settled monthly in arrears</w:t>
      </w:r>
    </w:p>
    <w:p>
      <w:pPr>
        <w:pStyle w:val="Normal"/>
        <w:numPr>
          <w:ilvl w:val="0"/>
          <w:numId w:val="6"/>
        </w:numPr>
        <w:rPr>
          <w:sz w:val="20"/>
        </w:rPr>
      </w:pPr>
      <w:r>
        <w:rPr>
          <w:sz w:val="20"/>
        </w:rPr>
        <w:t>TDM T-1 and IP DS-3, as described above</w:t>
      </w:r>
    </w:p>
    <w:p>
      <w:pPr>
        <w:pStyle w:val="Normal"/>
        <w:numPr>
          <w:ilvl w:val="0"/>
          <w:numId w:val="6"/>
        </w:numPr>
        <w:rPr>
          <w:sz w:val="20"/>
        </w:rPr>
      </w:pPr>
      <w:r>
        <w:rPr>
          <w:sz w:val="20"/>
        </w:rPr>
        <w:t>Peak and Off-Peak, to be defined but likely 08:00 to 20:00 NYT peak</w:t>
      </w:r>
    </w:p>
    <w:p>
      <w:pPr>
        <w:pStyle w:val="Normal"/>
        <w:numPr>
          <w:ilvl w:val="0"/>
          <w:numId w:val="6"/>
        </w:numPr>
        <w:rPr>
          <w:sz w:val="20"/>
        </w:rPr>
      </w:pPr>
      <w:r>
        <w:rPr>
          <w:sz w:val="20"/>
        </w:rPr>
        <w:t>Five-day and seven-day</w:t>
      </w:r>
    </w:p>
    <w:p>
      <w:pPr>
        <w:pStyle w:val="Normal"/>
        <w:numPr>
          <w:ilvl w:val="0"/>
          <w:numId w:val="6"/>
        </w:numPr>
        <w:rPr>
          <w:sz w:val="20"/>
        </w:rPr>
      </w:pPr>
      <w:r>
        <w:rPr>
          <w:sz w:val="20"/>
        </w:rPr>
        <w:t>T-1 Firm (100%),  IP Firm (&gt;99.0%?), T-1 Interruptible (TBD), and IP Interruptible (TBD)</w:t>
      </w:r>
    </w:p>
    <w:p>
      <w:pPr>
        <w:pStyle w:val="Normal"/>
        <w:numPr>
          <w:ilvl w:val="0"/>
          <w:numId w:val="6"/>
        </w:numPr>
        <w:rPr>
          <w:sz w:val="20"/>
        </w:rPr>
      </w:pPr>
      <w:r>
        <w:rPr>
          <w:sz w:val="20"/>
        </w:rPr>
        <w:t>TDM T-1 benchmark (1 Wilshire in LA to 60 Hudson in NYC) and basis markets around this, such as 55 Market (San Francisco)</w:t>
      </w:r>
    </w:p>
    <w:p>
      <w:pPr>
        <w:pStyle w:val="Normal"/>
        <w:numPr>
          <w:ilvl w:val="0"/>
          <w:numId w:val="2"/>
        </w:numPr>
        <w:rPr>
          <w:sz w:val="20"/>
        </w:rPr>
      </w:pPr>
      <w:r>
        <w:rPr>
          <w:sz w:val="20"/>
        </w:rPr>
        <w:t>IP DS-3 benchmark (Los Angeles to New York TDM) and basis markets around this such as New York, Chicago, Los Angeles, and Miami</w:t>
      </w:r>
    </w:p>
    <w:p>
      <w:pPr>
        <w:pStyle w:val="BodyTextIndent"/>
        <w:ind w:hanging="0" w:start="0" w:end="0"/>
        <w:rPr>
          <w:sz w:val="20"/>
        </w:rPr>
      </w:pPr>
      <w:r>
        <w:rPr>
          <w:sz w:val="20"/>
        </w:rPr>
      </w:r>
    </w:p>
    <w:p>
      <w:pPr>
        <w:pStyle w:val="BodyTextIndent"/>
        <w:ind w:hanging="0" w:start="0" w:end="0"/>
        <w:rPr/>
      </w:pPr>
      <w:r>
        <w:rPr/>
      </w:r>
    </w:p>
    <w:p>
      <w:pPr>
        <w:pStyle w:val="Subject"/>
        <w:tabs>
          <w:tab w:val="left" w:pos="540" w:leader="none"/>
        </w:tabs>
        <w:rPr>
          <w:b/>
        </w:rPr>
      </w:pPr>
      <w:r>
        <w:rPr>
          <w:b/>
        </w:rPr>
        <w:t>Quantitative Risk Parameters</w:t>
      </w:r>
    </w:p>
    <w:p>
      <w:pPr>
        <w:pStyle w:val="Heading2"/>
        <w:ind w:hanging="0" w:start="0"/>
        <w:rPr>
          <w:i w:val="false"/>
          <w:i w:val="false"/>
        </w:rPr>
      </w:pPr>
      <w:r>
        <w:rPr>
          <w:b/>
          <w:i w:val="false"/>
        </w:rPr>
        <w:t>Note:</w:t>
      </w:r>
      <w:r>
        <w:rPr>
          <w:i w:val="false"/>
        </w:rPr>
        <w:tab/>
      </w:r>
      <w:r>
        <w:rPr>
          <w:b/>
          <w:i w:val="false"/>
        </w:rPr>
        <w:t>Final Limits will be discussed and approved at the August meeting of the Board of Directors</w:t>
      </w:r>
    </w:p>
    <w:p>
      <w:pPr>
        <w:pStyle w:val="Heading2"/>
        <w:ind w:hanging="0" w:start="0"/>
        <w:rPr>
          <w:i w:val="false"/>
          <w:i w:val="false"/>
        </w:rPr>
      </w:pPr>
      <w:r>
        <w:rPr>
          <w:i w:val="false"/>
        </w:rPr>
      </w:r>
    </w:p>
    <w:p>
      <w:pPr>
        <w:pStyle w:val="Heading2"/>
        <w:ind w:hanging="0" w:start="0"/>
        <w:rPr/>
      </w:pPr>
      <w:r>
        <w:rPr/>
        <w:t>Maximum Net Open Position—Proposed 610 LA-NY TDM (DS3-months)</w:t>
      </w:r>
    </w:p>
    <w:p>
      <w:pPr>
        <w:pStyle w:val="Normal"/>
        <w:rPr>
          <w:sz w:val="20"/>
        </w:rPr>
      </w:pPr>
      <w:r>
        <w:rPr>
          <w:sz w:val="20"/>
        </w:rPr>
        <w:t xml:space="preserve">The standing interim policy sets this limit at 10Bcf equivalents.  The only way to derive Bcf-Bandwidth equivalents is through notional dollar value.  Applying a conservative view of natural gas price of $2.00 per Mmbtu, 10Bcf is about $20MM notional.  </w:t>
      </w:r>
    </w:p>
    <w:p>
      <w:pPr>
        <w:pStyle w:val="Normal"/>
        <w:rPr>
          <w:sz w:val="20"/>
        </w:rPr>
      </w:pPr>
      <w:r>
        <w:rPr>
          <w:sz w:val="20"/>
        </w:rPr>
      </w:r>
    </w:p>
    <w:p>
      <w:pPr>
        <w:pStyle w:val="Normal"/>
        <w:rPr>
          <w:sz w:val="20"/>
        </w:rPr>
      </w:pPr>
      <w:r>
        <w:rPr>
          <w:sz w:val="20"/>
        </w:rPr>
        <w:t>The benchmark route is TDM DS3 for Los Angeles-New York.  Using estimated mid-values for LA-NY DS3 of $0.02/DSO mile per month for 2,441 miles ($32,807 per month), the $20 million notional is converted to 610 LA-NY DS3-months.</w:t>
      </w:r>
    </w:p>
    <w:p>
      <w:pPr>
        <w:pStyle w:val="Normal"/>
        <w:rPr>
          <w:sz w:val="20"/>
        </w:rPr>
      </w:pPr>
      <w:r>
        <w:rPr>
          <w:sz w:val="20"/>
        </w:rPr>
      </w:r>
    </w:p>
    <w:p>
      <w:pPr>
        <w:pStyle w:val="Normal"/>
        <w:rPr>
          <w:sz w:val="20"/>
        </w:rPr>
      </w:pPr>
      <w:r>
        <w:rPr>
          <w:sz w:val="20"/>
        </w:rPr>
        <w:t xml:space="preserve">For routes other than LA-NY, the benchmark position is based upon the number of miles relative to LA-NY mileage.  Also, for capacity types other than DS3, the benchmark position is based on the capacity versus DS3.  For example, OC3 has the capacity equivalent of 3 DS3’s.  In this case, OC3 would convert to 3 benchmarked DS3’s (assuming equal mileage). </w:t>
      </w:r>
    </w:p>
    <w:p>
      <w:pPr>
        <w:pStyle w:val="Normal"/>
        <w:rPr>
          <w:sz w:val="20"/>
        </w:rPr>
      </w:pPr>
      <w:r>
        <w:rPr>
          <w:sz w:val="20"/>
        </w:rPr>
      </w:r>
    </w:p>
    <w:p>
      <w:pPr>
        <w:pStyle w:val="Heading2"/>
        <w:ind w:hanging="0" w:start="0"/>
        <w:rPr/>
      </w:pPr>
      <w:r>
        <w:rPr/>
        <w:t>Maximum Time Spread Position—Proposed 1,220 LA-NY TDM (DS3-months)</w:t>
      </w:r>
    </w:p>
    <w:p>
      <w:pPr>
        <w:pStyle w:val="Normal"/>
        <w:rPr>
          <w:sz w:val="20"/>
        </w:rPr>
      </w:pPr>
      <w:r>
        <w:rPr>
          <w:sz w:val="20"/>
        </w:rPr>
        <w:t>The standing interim policy sets this limit at 20Bcf equivalents.  Using the logic above, this is equivalent to 1,220 DS3-months.</w:t>
      </w:r>
    </w:p>
    <w:p>
      <w:pPr>
        <w:pStyle w:val="Normal"/>
        <w:rPr>
          <w:sz w:val="20"/>
        </w:rPr>
      </w:pPr>
      <w:r>
        <w:rPr>
          <w:sz w:val="20"/>
        </w:rPr>
      </w:r>
    </w:p>
    <w:p>
      <w:pPr>
        <w:pStyle w:val="Heading2"/>
        <w:ind w:hanging="0" w:start="0"/>
        <w:rPr/>
      </w:pPr>
      <w:r>
        <w:rPr/>
        <w:t>Maximum Daily Loss Limit—Proposed $500,000</w:t>
      </w:r>
    </w:p>
    <w:p>
      <w:pPr>
        <w:pStyle w:val="Normal"/>
        <w:rPr>
          <w:sz w:val="20"/>
        </w:rPr>
      </w:pPr>
      <w:r>
        <w:rPr>
          <w:sz w:val="20"/>
        </w:rPr>
        <w:t>The standing interim policy is $500,000</w:t>
      </w:r>
    </w:p>
    <w:p>
      <w:pPr>
        <w:pStyle w:val="Normal"/>
        <w:rPr>
          <w:sz w:val="20"/>
        </w:rPr>
      </w:pPr>
      <w:r>
        <w:rPr>
          <w:sz w:val="20"/>
        </w:rPr>
      </w:r>
    </w:p>
    <w:p>
      <w:pPr>
        <w:pStyle w:val="Normal"/>
        <w:rPr>
          <w:i/>
          <w:i/>
          <w:sz w:val="20"/>
        </w:rPr>
      </w:pPr>
      <w:r>
        <w:rPr>
          <w:i/>
          <w:sz w:val="20"/>
        </w:rPr>
        <w:t>Maximum VAR–Proposed $1,000,000</w:t>
      </w:r>
    </w:p>
    <w:p>
      <w:pPr>
        <w:pStyle w:val="Normal"/>
        <w:rPr>
          <w:sz w:val="20"/>
        </w:rPr>
      </w:pPr>
      <w:r>
        <w:rPr>
          <w:sz w:val="20"/>
        </w:rPr>
        <w:t>The standing interim limit is $1,000,000.</w:t>
      </w:r>
    </w:p>
    <w:p>
      <w:pPr>
        <w:pStyle w:val="Normal"/>
        <w:rPr>
          <w:sz w:val="20"/>
        </w:rPr>
      </w:pPr>
      <w:r>
        <w:rPr>
          <w:sz w:val="20"/>
        </w:rPr>
      </w:r>
    </w:p>
    <w:p>
      <w:pPr>
        <w:pStyle w:val="Heading2"/>
        <w:ind w:hanging="0" w:start="0"/>
        <w:rPr/>
      </w:pPr>
      <w:r>
        <w:rPr/>
        <w:t>Maximum Term of Interim Policy—Proposed 6 months</w:t>
      </w:r>
    </w:p>
    <w:p>
      <w:pPr>
        <w:pStyle w:val="Normal"/>
        <w:rPr>
          <w:sz w:val="20"/>
        </w:rPr>
      </w:pPr>
      <w:r>
        <w:rPr>
          <w:sz w:val="20"/>
        </w:rPr>
        <w:t>The standing interim limit is 6 months.</w:t>
      </w:r>
    </w:p>
    <w:p>
      <w:pPr>
        <w:pStyle w:val="Normal"/>
        <w:rPr>
          <w:sz w:val="20"/>
        </w:rPr>
      </w:pPr>
      <w:r>
        <w:rPr>
          <w:sz w:val="20"/>
        </w:rPr>
      </w:r>
    </w:p>
    <w:p>
      <w:pPr>
        <w:pStyle w:val="Subject"/>
        <w:tabs>
          <w:tab w:val="left" w:pos="540" w:leader="none"/>
        </w:tabs>
        <w:rPr>
          <w:b/>
        </w:rPr>
      </w:pPr>
      <w:r>
        <w:rPr>
          <w:b/>
        </w:rPr>
        <w:t>Legal/Operational Risks</w:t>
      </w:r>
    </w:p>
    <w:p>
      <w:pPr>
        <w:pStyle w:val="Subject"/>
        <w:tabs>
          <w:tab w:val="left" w:pos="540" w:leader="none"/>
        </w:tabs>
        <w:rPr/>
      </w:pPr>
      <w:r>
        <w:rPr/>
        <w:t>Standard terms and conditions governing bandwidth trading regarding quality, quantity, reliability and firm delivery have yet to be established.  In order to mitigate this risk, the bandwidth trading team will endeavor to:</w:t>
      </w:r>
    </w:p>
    <w:p>
      <w:pPr>
        <w:pStyle w:val="Subject"/>
        <w:tabs>
          <w:tab w:val="left" w:pos="540" w:leader="none"/>
        </w:tabs>
        <w:rPr/>
      </w:pPr>
      <w:r>
        <w:rPr/>
      </w:r>
    </w:p>
    <w:p>
      <w:pPr>
        <w:pStyle w:val="Subject"/>
        <w:numPr>
          <w:ilvl w:val="0"/>
          <w:numId w:val="3"/>
        </w:numPr>
        <w:tabs>
          <w:tab w:val="left" w:pos="540" w:leader="none"/>
          <w:tab w:val="left" w:pos="900" w:leader="none"/>
        </w:tabs>
        <w:ind w:hanging="360" w:start="900" w:end="0"/>
        <w:rPr/>
      </w:pPr>
      <w:r>
        <w:rPr/>
        <w:t>Buy before selling to minimize potential mismatch risk</w:t>
      </w:r>
    </w:p>
    <w:p>
      <w:pPr>
        <w:pStyle w:val="Subject"/>
        <w:numPr>
          <w:ilvl w:val="0"/>
          <w:numId w:val="3"/>
        </w:numPr>
        <w:tabs>
          <w:tab w:val="left" w:pos="540" w:leader="none"/>
          <w:tab w:val="left" w:pos="900" w:leader="none"/>
        </w:tabs>
        <w:ind w:hanging="360" w:start="900" w:end="0"/>
        <w:rPr/>
      </w:pPr>
      <w:r>
        <w:rPr/>
        <w:t>Buy and sell under the same terms and conditions at same delivery point</w:t>
      </w:r>
    </w:p>
    <w:p>
      <w:pPr>
        <w:pStyle w:val="Subject"/>
        <w:numPr>
          <w:ilvl w:val="0"/>
          <w:numId w:val="3"/>
        </w:numPr>
        <w:tabs>
          <w:tab w:val="left" w:pos="540" w:leader="none"/>
          <w:tab w:val="left" w:pos="900" w:leader="none"/>
        </w:tabs>
        <w:ind w:hanging="360" w:start="900" w:end="0"/>
        <w:rPr/>
      </w:pPr>
      <w:r>
        <w:rPr/>
        <w:t>Establish maximum damages for non-performance</w:t>
      </w:r>
    </w:p>
    <w:p>
      <w:pPr>
        <w:pStyle w:val="Subject"/>
        <w:numPr>
          <w:ilvl w:val="0"/>
          <w:numId w:val="3"/>
        </w:numPr>
        <w:tabs>
          <w:tab w:val="left" w:pos="540" w:leader="none"/>
          <w:tab w:val="left" w:pos="900" w:leader="none"/>
        </w:tabs>
        <w:ind w:hanging="360" w:start="900" w:end="0"/>
        <w:rPr/>
      </w:pPr>
      <w:r>
        <w:rPr/>
        <w:t>Develop acceptable standard for industry-wide contracts</w:t>
      </w:r>
    </w:p>
    <w:p>
      <w:pPr>
        <w:pStyle w:val="Subject"/>
        <w:tabs>
          <w:tab w:val="left" w:pos="540" w:leader="none"/>
        </w:tabs>
        <w:rPr/>
      </w:pPr>
      <w:r>
        <w:rPr/>
      </w:r>
    </w:p>
    <w:p>
      <w:pPr>
        <w:pStyle w:val="Subject"/>
        <w:tabs>
          <w:tab w:val="left" w:pos="540" w:leader="none"/>
        </w:tabs>
        <w:rPr/>
      </w:pPr>
      <w:r>
        <w:rPr/>
        <w:t>Please see attached sample trade confirmations.</w:t>
      </w:r>
    </w:p>
    <w:p>
      <w:pPr>
        <w:pStyle w:val="Normal"/>
        <w:rPr>
          <w:sz w:val="20"/>
        </w:rPr>
      </w:pPr>
      <w:r>
        <w:rPr>
          <w:sz w:val="20"/>
        </w:rPr>
      </w:r>
      <w:r>
        <w:br w:type="page"/>
      </w:r>
    </w:p>
    <w:p>
      <w:pPr>
        <w:pStyle w:val="Subject"/>
        <w:tabs>
          <w:tab w:val="left" w:pos="540" w:leader="none"/>
        </w:tabs>
        <w:rPr>
          <w:sz w:val="20"/>
        </w:rPr>
      </w:pPr>
      <w:r>
        <w:rPr>
          <w:sz w:val="20"/>
        </w:rPr>
      </w:r>
    </w:p>
    <w:p>
      <w:pPr>
        <w:pStyle w:val="Normal"/>
        <w:rPr>
          <w:b/>
          <w:sz w:val="20"/>
        </w:rPr>
      </w:pPr>
      <w:r>
        <w:rPr>
          <w:b/>
          <w:sz w:val="20"/>
        </w:rPr>
        <w:t>Sample trade confirmations:</w:t>
      </w:r>
    </w:p>
    <w:p>
      <w:pPr>
        <w:pStyle w:val="Normal"/>
        <w:rPr>
          <w:b/>
          <w:sz w:val="20"/>
        </w:rPr>
      </w:pPr>
      <w:r>
        <w:rPr>
          <w:b/>
          <w:sz w:val="20"/>
        </w:rPr>
      </w:r>
    </w:p>
    <w:p>
      <w:pPr>
        <w:pStyle w:val="Normal"/>
        <w:rPr>
          <w:b/>
          <w:sz w:val="20"/>
        </w:rPr>
      </w:pPr>
      <w:r>
        <w:rPr>
          <w:b/>
          <w:sz w:val="20"/>
        </w:rPr>
        <w:t>_____________________________________________________________________________________</w:t>
      </w:r>
    </w:p>
    <w:p>
      <w:pPr>
        <w:pStyle w:val="Subject"/>
        <w:tabs>
          <w:tab w:val="left" w:pos="540" w:leader="none"/>
        </w:tabs>
        <w:rPr>
          <w:b/>
          <w:i/>
          <w:i/>
        </w:rPr>
      </w:pPr>
      <w:r>
        <w:rPr>
          <w:b/>
        </w:rPr>
        <w:t>Physical--TDM</w:t>
      </w:r>
    </w:p>
    <w:p>
      <w:pPr>
        <w:pStyle w:val="Normal"/>
        <w:rPr>
          <w:sz w:val="20"/>
        </w:rPr>
      </w:pPr>
      <w:r>
        <w:rPr>
          <w:sz w:val="20"/>
        </w:rPr>
        <w:t>Seller:</w:t>
        <w:tab/>
        <w:tab/>
        <w:t>Enron Communications, Inc.</w:t>
      </w:r>
    </w:p>
    <w:p>
      <w:pPr>
        <w:pStyle w:val="Normal"/>
        <w:rPr>
          <w:sz w:val="20"/>
        </w:rPr>
      </w:pPr>
      <w:r>
        <w:rPr>
          <w:sz w:val="20"/>
        </w:rPr>
        <w:t>Buyer:</w:t>
        <w:tab/>
        <w:tab/>
        <w:t>MCI Worldcom</w:t>
      </w:r>
    </w:p>
    <w:p>
      <w:pPr>
        <w:pStyle w:val="Normal"/>
        <w:rPr>
          <w:sz w:val="20"/>
        </w:rPr>
      </w:pPr>
      <w:r>
        <w:rPr>
          <w:sz w:val="20"/>
        </w:rPr>
        <w:t>Tenor:</w:t>
        <w:tab/>
        <w:tab/>
        <w:t>Calendar March 1999</w:t>
      </w:r>
    </w:p>
    <w:p>
      <w:pPr>
        <w:pStyle w:val="Normal"/>
        <w:rPr>
          <w:sz w:val="20"/>
        </w:rPr>
      </w:pPr>
      <w:r>
        <w:rPr>
          <w:sz w:val="20"/>
        </w:rPr>
        <w:tab/>
        <w:tab/>
        <w:tab/>
        <w:t>Commencing 12:00a (midnight) EST</w:t>
      </w:r>
    </w:p>
    <w:p>
      <w:pPr>
        <w:pStyle w:val="Normal"/>
        <w:rPr>
          <w:sz w:val="20"/>
        </w:rPr>
      </w:pPr>
      <w:r>
        <w:rPr>
          <w:sz w:val="20"/>
        </w:rPr>
        <w:tab/>
        <w:tab/>
        <w:tab/>
        <w:t>Terminating 12:00a (midnight) EST</w:t>
      </w:r>
    </w:p>
    <w:p>
      <w:pPr>
        <w:pStyle w:val="Normal"/>
        <w:rPr>
          <w:sz w:val="20"/>
        </w:rPr>
      </w:pPr>
      <w:r>
        <w:rPr>
          <w:sz w:val="20"/>
        </w:rPr>
        <w:t>Segment:</w:t>
        <w:tab/>
        <w:t>55 Market Street San Francisco, Circuit identifier 12345</w:t>
      </w:r>
    </w:p>
    <w:p>
      <w:pPr>
        <w:pStyle w:val="Normal"/>
        <w:rPr>
          <w:sz w:val="20"/>
        </w:rPr>
      </w:pPr>
      <w:r>
        <w:rPr>
          <w:sz w:val="20"/>
        </w:rPr>
        <w:tab/>
        <w:tab/>
        <w:tab/>
        <w:t>60 Hudson Street New York, Circuit identifier 54321</w:t>
      </w:r>
    </w:p>
    <w:p>
      <w:pPr>
        <w:pStyle w:val="Normal"/>
        <w:rPr>
          <w:sz w:val="20"/>
        </w:rPr>
      </w:pPr>
      <w:r>
        <w:rPr>
          <w:sz w:val="20"/>
        </w:rPr>
        <w:tab/>
        <w:tab/>
        <w:tab/>
        <w:t>Full duplex</w:t>
      </w:r>
    </w:p>
    <w:p>
      <w:pPr>
        <w:pStyle w:val="Normal"/>
        <w:rPr>
          <w:sz w:val="20"/>
        </w:rPr>
      </w:pPr>
      <w:r>
        <w:rPr>
          <w:sz w:val="20"/>
        </w:rPr>
        <w:t>Contract Size:</w:t>
        <w:tab/>
        <w:t>1.544 Mbps, unconditioned</w:t>
      </w:r>
    </w:p>
    <w:p>
      <w:pPr>
        <w:pStyle w:val="Normal"/>
        <w:rPr>
          <w:sz w:val="20"/>
        </w:rPr>
      </w:pPr>
      <w:r>
        <w:rPr>
          <w:sz w:val="20"/>
        </w:rPr>
        <w:t># of contracts:</w:t>
        <w:tab/>
        <w:t>10</w:t>
      </w:r>
    </w:p>
    <w:p>
      <w:pPr>
        <w:pStyle w:val="Normal"/>
        <w:rPr>
          <w:sz w:val="20"/>
        </w:rPr>
      </w:pPr>
      <w:r>
        <w:rPr>
          <w:sz w:val="20"/>
        </w:rPr>
        <w:t>QoS:</w:t>
        <w:tab/>
        <w:tab/>
        <w:tab/>
        <w:t>time delay &lt; 120ms</w:t>
      </w:r>
    </w:p>
    <w:p>
      <w:pPr>
        <w:pStyle w:val="Normal"/>
        <w:rPr>
          <w:sz w:val="20"/>
        </w:rPr>
      </w:pPr>
      <w:r>
        <w:rPr>
          <w:sz w:val="20"/>
        </w:rPr>
        <w:tab/>
        <w:tab/>
        <w:tab/>
        <w:t>Dedicated circuit, zero granularity</w:t>
      </w:r>
    </w:p>
    <w:p>
      <w:pPr>
        <w:pStyle w:val="Normal"/>
        <w:rPr>
          <w:sz w:val="20"/>
        </w:rPr>
      </w:pPr>
      <w:r>
        <w:rPr>
          <w:sz w:val="20"/>
        </w:rPr>
        <w:t>Force Majeure:</w:t>
        <w:tab/>
        <w:t>Defined Acts of God, strikes</w:t>
      </w:r>
    </w:p>
    <w:p>
      <w:pPr>
        <w:pStyle w:val="Normal"/>
        <w:rPr>
          <w:sz w:val="20"/>
        </w:rPr>
      </w:pPr>
      <w:r>
        <w:rPr>
          <w:sz w:val="20"/>
        </w:rPr>
        <w:tab/>
        <w:tab/>
        <w:tab/>
        <w:t>After 30 contiguous days of non-performance due to force majeure,</w:t>
      </w:r>
    </w:p>
    <w:p>
      <w:pPr>
        <w:pStyle w:val="Normal"/>
        <w:ind w:start="1440" w:end="0"/>
        <w:rPr>
          <w:sz w:val="20"/>
        </w:rPr>
      </w:pPr>
      <w:r>
        <w:rPr>
          <w:sz w:val="20"/>
        </w:rPr>
        <w:t>the non-defaulting party has the right to cancel the balance of the agreement without penalty.</w:t>
      </w:r>
    </w:p>
    <w:p>
      <w:pPr>
        <w:pStyle w:val="Normal"/>
        <w:rPr>
          <w:sz w:val="20"/>
        </w:rPr>
      </w:pPr>
      <w:r>
        <w:rPr>
          <w:sz w:val="20"/>
        </w:rPr>
        <w:t>Default:</w:t>
        <w:tab/>
        <w:tab/>
        <w:t>Verified by xyz protocol</w:t>
      </w:r>
    </w:p>
    <w:p>
      <w:pPr>
        <w:pStyle w:val="Normal"/>
        <w:rPr>
          <w:sz w:val="20"/>
        </w:rPr>
      </w:pPr>
      <w:r>
        <w:rPr>
          <w:sz w:val="20"/>
        </w:rPr>
        <w:tab/>
        <w:tab/>
        <w:tab/>
        <w:t>Each day or portion thereof, penalty is 3x daily rate.</w:t>
      </w:r>
    </w:p>
    <w:p>
      <w:pPr>
        <w:pStyle w:val="Normal"/>
        <w:rPr>
          <w:sz w:val="20"/>
        </w:rPr>
      </w:pPr>
      <w:r>
        <w:rPr>
          <w:sz w:val="20"/>
        </w:rPr>
        <w:tab/>
        <w:tab/>
        <w:tab/>
        <w:t>Default persisting more than 10 contiguous days, penalty is 5x monthly rate,</w:t>
      </w:r>
    </w:p>
    <w:p>
      <w:pPr>
        <w:pStyle w:val="Normal"/>
        <w:rPr>
          <w:sz w:val="20"/>
        </w:rPr>
      </w:pPr>
      <w:r>
        <w:rPr>
          <w:sz w:val="20"/>
        </w:rPr>
        <w:tab/>
        <w:tab/>
        <w:tab/>
        <w:t>and non-defaulting party has right to cancel remaining portion of agreement</w:t>
      </w:r>
    </w:p>
    <w:p>
      <w:pPr>
        <w:pStyle w:val="Normal"/>
        <w:rPr>
          <w:sz w:val="20"/>
        </w:rPr>
      </w:pPr>
      <w:r>
        <w:rPr>
          <w:sz w:val="20"/>
        </w:rPr>
        <w:tab/>
        <w:tab/>
        <w:tab/>
        <w:t>Daily rate is monthly rate divided by 30.</w:t>
      </w:r>
    </w:p>
    <w:p>
      <w:pPr>
        <w:pStyle w:val="Normal"/>
        <w:rPr/>
      </w:pPr>
      <w:r>
        <w:rPr>
          <w:sz w:val="20"/>
        </w:rPr>
        <w:t>Settlement:</w:t>
        <w:tab/>
        <w:t>Physical, buyer to pay seller before the 20</w:t>
      </w:r>
      <w:r>
        <w:rPr>
          <w:sz w:val="20"/>
          <w:vertAlign w:val="superscript"/>
        </w:rPr>
        <w:t>th</w:t>
      </w:r>
      <w:r>
        <w:rPr>
          <w:sz w:val="20"/>
        </w:rPr>
        <w:t xml:space="preserve"> calendar day of the month following delivery.</w:t>
      </w:r>
    </w:p>
    <w:p>
      <w:pPr>
        <w:pStyle w:val="Normal"/>
        <w:rPr>
          <w:sz w:val="20"/>
        </w:rPr>
      </w:pPr>
      <w:r>
        <w:rPr>
          <w:sz w:val="20"/>
        </w:rPr>
        <w:t>Peak/Off-Peak:</w:t>
        <w:tab/>
        <w:t>5x12 (light, hot)</w:t>
      </w:r>
    </w:p>
    <w:p>
      <w:pPr>
        <w:pStyle w:val="Normal"/>
        <w:ind w:firstLine="720" w:start="1440" w:end="0"/>
        <w:rPr>
          <w:sz w:val="20"/>
        </w:rPr>
      </w:pPr>
      <w:r>
        <w:rPr>
          <w:sz w:val="20"/>
        </w:rPr>
        <w:t>Full time=24-hour per day, seven days per week</w:t>
      </w:r>
    </w:p>
    <w:p>
      <w:pPr>
        <w:pStyle w:val="Normal"/>
        <w:rPr>
          <w:sz w:val="20"/>
        </w:rPr>
      </w:pPr>
      <w:r>
        <w:rPr>
          <w:sz w:val="20"/>
        </w:rPr>
        <w:tab/>
        <w:tab/>
        <w:tab/>
        <w:tab/>
        <w:t>Light=8:00a EST to 8:00p EST</w:t>
      </w:r>
    </w:p>
    <w:p>
      <w:pPr>
        <w:pStyle w:val="Normal"/>
        <w:rPr>
          <w:sz w:val="20"/>
        </w:rPr>
      </w:pPr>
      <w:r>
        <w:rPr>
          <w:sz w:val="20"/>
        </w:rPr>
        <w:tab/>
        <w:tab/>
        <w:tab/>
        <w:tab/>
        <w:t>Dark=8:00p EST to 8:00a EST</w:t>
      </w:r>
    </w:p>
    <w:p>
      <w:pPr>
        <w:pStyle w:val="Normal"/>
        <w:rPr>
          <w:sz w:val="20"/>
        </w:rPr>
      </w:pPr>
      <w:r>
        <w:rPr>
          <w:sz w:val="20"/>
        </w:rPr>
        <w:tab/>
        <w:tab/>
        <w:tab/>
        <w:tab/>
        <w:t>Hot=8:00a EST Monday to 8:00p EST Friday</w:t>
      </w:r>
    </w:p>
    <w:p>
      <w:pPr>
        <w:pStyle w:val="Normal"/>
        <w:rPr>
          <w:sz w:val="20"/>
        </w:rPr>
      </w:pPr>
      <w:r>
        <w:rPr>
          <w:sz w:val="20"/>
        </w:rPr>
        <w:tab/>
        <w:tab/>
        <w:tab/>
        <w:tab/>
        <w:t>Cold=8:00p EST Friday to 8:00a EST Monday</w:t>
      </w:r>
    </w:p>
    <w:p>
      <w:pPr>
        <w:pStyle w:val="Normal"/>
        <w:rPr>
          <w:sz w:val="20"/>
        </w:rPr>
      </w:pPr>
      <w:r>
        <w:rPr>
          <w:sz w:val="20"/>
        </w:rPr>
        <w:t>Fixed Price:</w:t>
        <w:tab/>
        <w:t>$9,000 per month per contract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sz w:val="20"/>
        </w:rPr>
      </w:pPr>
      <w:r>
        <w:rPr>
          <w:b/>
          <w:sz w:val="20"/>
        </w:rPr>
      </w:r>
    </w:p>
    <w:p>
      <w:pPr>
        <w:pStyle w:val="Normal"/>
        <w:rPr>
          <w:b/>
          <w:sz w:val="20"/>
        </w:rPr>
      </w:pPr>
      <w:r>
        <w:rPr>
          <w:b/>
          <w:sz w:val="20"/>
        </w:rPr>
        <w:t>_____________________________________________________________________________________</w:t>
      </w:r>
    </w:p>
    <w:p>
      <w:pPr>
        <w:pStyle w:val="Normal"/>
        <w:rPr>
          <w:b/>
          <w:sz w:val="20"/>
        </w:rPr>
      </w:pPr>
      <w:r>
        <w:rPr>
          <w:b/>
          <w:sz w:val="20"/>
        </w:rPr>
      </w:r>
    </w:p>
    <w:p>
      <w:pPr>
        <w:pStyle w:val="Normal"/>
        <w:rPr>
          <w:b/>
          <w:sz w:val="20"/>
        </w:rPr>
      </w:pPr>
      <w:r>
        <w:rPr>
          <w:b/>
          <w:sz w:val="20"/>
        </w:rPr>
        <w:t>TDM Market Needs</w:t>
      </w:r>
    </w:p>
    <w:p>
      <w:pPr>
        <w:pStyle w:val="Normal"/>
        <w:rPr>
          <w:b/>
          <w:sz w:val="20"/>
        </w:rPr>
      </w:pPr>
      <w:r>
        <w:rPr>
          <w:b/>
          <w:sz w:val="20"/>
        </w:rPr>
      </w:r>
    </w:p>
    <w:p>
      <w:pPr>
        <w:pStyle w:val="Normal"/>
        <w:numPr>
          <w:ilvl w:val="0"/>
          <w:numId w:val="5"/>
        </w:numPr>
        <w:rPr>
          <w:b/>
          <w:sz w:val="20"/>
        </w:rPr>
      </w:pPr>
      <w:r>
        <w:rPr>
          <w:b/>
          <w:sz w:val="20"/>
        </w:rPr>
        <w:t>Hotel Pooling Routers</w:t>
        <w:tab/>
        <w:t>60 Hudson St., 55 Market St., 1 Wilshire Blvd.</w:t>
      </w:r>
    </w:p>
    <w:p>
      <w:pPr>
        <w:pStyle w:val="Normal"/>
        <w:ind w:start="720" w:end="0"/>
        <w:rPr>
          <w:b/>
          <w:sz w:val="20"/>
        </w:rPr>
      </w:pPr>
      <w:r>
        <w:rPr>
          <w:b/>
          <w:sz w:val="20"/>
        </w:rPr>
        <w:t>Software-controlled routers linking all hotel “guests” with one another, switchable to allow peak/off-peak intra-day trading.  These routers must also have an audit function to verify reliability of the defined circuit.</w:t>
      </w:r>
    </w:p>
    <w:p>
      <w:pPr>
        <w:pStyle w:val="Normal"/>
        <w:rPr>
          <w:b/>
          <w:sz w:val="20"/>
        </w:rPr>
      </w:pPr>
      <w:r>
        <w:rPr>
          <w:b/>
          <w:sz w:val="20"/>
        </w:rPr>
        <w:t>Who should do this?</w:t>
      </w:r>
    </w:p>
    <w:p>
      <w:pPr>
        <w:pStyle w:val="Normal"/>
        <w:rPr>
          <w:b/>
          <w:sz w:val="20"/>
        </w:rPr>
      </w:pPr>
      <w:r>
        <w:rPr>
          <w:b/>
          <w:sz w:val="20"/>
        </w:rPr>
        <w:t>Enron Communications, Inc.</w:t>
      </w:r>
    </w:p>
    <w:p>
      <w:pPr>
        <w:pStyle w:val="Normal"/>
        <w:rPr>
          <w:b/>
          <w:sz w:val="20"/>
        </w:rPr>
      </w:pPr>
      <w:r>
        <w:rPr>
          <w:b/>
          <w:sz w:val="20"/>
        </w:rPr>
        <w:t>Level 3</w:t>
      </w:r>
    </w:p>
    <w:p>
      <w:pPr>
        <w:pStyle w:val="Normal"/>
        <w:rPr>
          <w:b/>
          <w:sz w:val="20"/>
        </w:rPr>
      </w:pPr>
      <w:r>
        <w:rPr>
          <w:b/>
          <w:sz w:val="20"/>
        </w:rPr>
        <w:t>Riser Corp</w:t>
      </w:r>
    </w:p>
    <w:p>
      <w:pPr>
        <w:pStyle w:val="Normal"/>
        <w:rPr>
          <w:sz w:val="20"/>
        </w:rPr>
      </w:pPr>
      <w:r>
        <w:rPr>
          <w:b/>
          <w:sz w:val="20"/>
        </w:rPr>
        <w:t>Equinix</w:t>
      </w:r>
      <w:r>
        <w:br w:type="page"/>
      </w:r>
    </w:p>
    <w:p>
      <w:pPr>
        <w:pStyle w:val="Normal"/>
        <w:rPr>
          <w:sz w:val="20"/>
        </w:rPr>
      </w:pPr>
      <w:r>
        <w:rPr>
          <w:sz w:val="20"/>
        </w:rPr>
      </w:r>
    </w:p>
    <w:p>
      <w:pPr>
        <w:pStyle w:val="Normal"/>
        <w:rPr>
          <w:b/>
          <w:sz w:val="20"/>
        </w:rPr>
      </w:pPr>
      <w:r>
        <w:rPr>
          <w:b/>
          <w:sz w:val="20"/>
        </w:rPr>
        <w:t>Sample trade confirmations:</w:t>
      </w:r>
    </w:p>
    <w:p>
      <w:pPr>
        <w:pStyle w:val="Normal"/>
        <w:rPr>
          <w:b/>
          <w:sz w:val="20"/>
        </w:rPr>
      </w:pPr>
      <w:r>
        <w:rPr>
          <w:b/>
          <w:sz w:val="20"/>
        </w:rPr>
      </w:r>
    </w:p>
    <w:p>
      <w:pPr>
        <w:pStyle w:val="Normal"/>
        <w:rPr>
          <w:b/>
          <w:sz w:val="20"/>
        </w:rPr>
      </w:pPr>
      <w:r>
        <w:rPr>
          <w:b/>
          <w:sz w:val="20"/>
        </w:rPr>
        <w:t>_____________________________________________________________________________________</w:t>
      </w:r>
    </w:p>
    <w:p>
      <w:pPr>
        <w:pStyle w:val="Subject"/>
        <w:tabs>
          <w:tab w:val="left" w:pos="540" w:leader="none"/>
        </w:tabs>
        <w:rPr>
          <w:b/>
          <w:i/>
          <w:i/>
        </w:rPr>
      </w:pPr>
      <w:r>
        <w:rPr>
          <w:b/>
        </w:rPr>
        <w:t>Physical--IP</w:t>
      </w:r>
    </w:p>
    <w:p>
      <w:pPr>
        <w:pStyle w:val="Normal"/>
        <w:rPr>
          <w:sz w:val="20"/>
        </w:rPr>
      </w:pPr>
      <w:r>
        <w:rPr>
          <w:sz w:val="20"/>
        </w:rPr>
        <w:t>Seller:</w:t>
        <w:tab/>
        <w:tab/>
        <w:t>Enron Communications, Inc.</w:t>
      </w:r>
    </w:p>
    <w:p>
      <w:pPr>
        <w:pStyle w:val="Normal"/>
        <w:rPr>
          <w:sz w:val="20"/>
        </w:rPr>
      </w:pPr>
      <w:r>
        <w:rPr>
          <w:sz w:val="20"/>
        </w:rPr>
        <w:t>Buyer:</w:t>
        <w:tab/>
        <w:tab/>
        <w:t>MCI Worldcom</w:t>
      </w:r>
    </w:p>
    <w:p>
      <w:pPr>
        <w:pStyle w:val="Normal"/>
        <w:rPr>
          <w:sz w:val="20"/>
        </w:rPr>
      </w:pPr>
      <w:r>
        <w:rPr>
          <w:sz w:val="20"/>
        </w:rPr>
        <w:t>Tenor:</w:t>
        <w:tab/>
        <w:tab/>
        <w:t>Calendar March 1999</w:t>
      </w:r>
    </w:p>
    <w:p>
      <w:pPr>
        <w:pStyle w:val="Normal"/>
        <w:rPr>
          <w:sz w:val="20"/>
        </w:rPr>
      </w:pPr>
      <w:r>
        <w:rPr>
          <w:sz w:val="20"/>
        </w:rPr>
        <w:tab/>
        <w:tab/>
        <w:tab/>
        <w:t>Commencing 12:00a (midnight) EST</w:t>
      </w:r>
    </w:p>
    <w:p>
      <w:pPr>
        <w:pStyle w:val="Normal"/>
        <w:rPr>
          <w:sz w:val="20"/>
        </w:rPr>
      </w:pPr>
      <w:r>
        <w:rPr>
          <w:sz w:val="20"/>
        </w:rPr>
        <w:tab/>
        <w:tab/>
        <w:tab/>
        <w:t>Terminating 12:00a (midnight) EST</w:t>
      </w:r>
    </w:p>
    <w:p>
      <w:pPr>
        <w:pStyle w:val="Normal"/>
        <w:rPr>
          <w:sz w:val="20"/>
        </w:rPr>
      </w:pPr>
      <w:r>
        <w:rPr>
          <w:sz w:val="20"/>
        </w:rPr>
        <w:t>Segment:</w:t>
        <w:tab/>
        <w:t>MAE-West – MAE-East</w:t>
      </w:r>
    </w:p>
    <w:p>
      <w:pPr>
        <w:pStyle w:val="Normal"/>
        <w:rPr>
          <w:sz w:val="20"/>
        </w:rPr>
      </w:pPr>
      <w:r>
        <w:rPr>
          <w:sz w:val="20"/>
        </w:rPr>
        <w:tab/>
        <w:tab/>
        <w:tab/>
        <w:t>MAE-West IP address: Enron Communications, Inc.=12345, MCI=6789</w:t>
      </w:r>
    </w:p>
    <w:p>
      <w:pPr>
        <w:pStyle w:val="Normal"/>
        <w:rPr>
          <w:sz w:val="20"/>
        </w:rPr>
      </w:pPr>
      <w:r>
        <w:rPr>
          <w:sz w:val="20"/>
        </w:rPr>
        <w:tab/>
        <w:tab/>
        <w:tab/>
        <w:t>MAE-East IP address:  Enron Communications, Inc.= 54321, MCI=12345</w:t>
      </w:r>
    </w:p>
    <w:p>
      <w:pPr>
        <w:pStyle w:val="Normal"/>
        <w:rPr>
          <w:sz w:val="20"/>
        </w:rPr>
      </w:pPr>
      <w:r>
        <w:rPr>
          <w:sz w:val="20"/>
        </w:rPr>
        <w:tab/>
        <w:tab/>
        <w:tab/>
        <w:t>Full duplex</w:t>
      </w:r>
    </w:p>
    <w:p>
      <w:pPr>
        <w:pStyle w:val="Normal"/>
        <w:rPr>
          <w:sz w:val="20"/>
        </w:rPr>
      </w:pPr>
      <w:r>
        <w:rPr>
          <w:sz w:val="20"/>
        </w:rPr>
        <w:t>Contract Size:</w:t>
        <w:tab/>
        <w:t>45.76 Mbps, unconditioned</w:t>
      </w:r>
    </w:p>
    <w:p>
      <w:pPr>
        <w:pStyle w:val="Normal"/>
        <w:rPr>
          <w:sz w:val="20"/>
        </w:rPr>
      </w:pPr>
      <w:r>
        <w:rPr>
          <w:sz w:val="20"/>
        </w:rPr>
        <w:t># of contracts:</w:t>
        <w:tab/>
        <w:t>5</w:t>
      </w:r>
    </w:p>
    <w:p>
      <w:pPr>
        <w:pStyle w:val="Normal"/>
        <w:rPr>
          <w:sz w:val="20"/>
        </w:rPr>
      </w:pPr>
      <w:r>
        <w:rPr>
          <w:sz w:val="20"/>
        </w:rPr>
        <w:t>QoS:</w:t>
        <w:tab/>
        <w:tab/>
        <w:t>time delay &lt; 120ms</w:t>
      </w:r>
    </w:p>
    <w:p>
      <w:pPr>
        <w:pStyle w:val="Normal"/>
        <w:ind w:firstLine="720" w:start="720" w:end="0"/>
        <w:rPr>
          <w:sz w:val="20"/>
        </w:rPr>
      </w:pPr>
      <w:r>
        <w:rPr>
          <w:sz w:val="20"/>
        </w:rPr>
        <w:t>Firm service: statistical reliability &gt;99.0%, verified by Cisco card 1001 or equivalent</w:t>
      </w:r>
    </w:p>
    <w:p>
      <w:pPr>
        <w:pStyle w:val="Normal"/>
        <w:rPr>
          <w:sz w:val="20"/>
        </w:rPr>
      </w:pPr>
      <w:r>
        <w:rPr>
          <w:sz w:val="20"/>
        </w:rPr>
        <w:t>Force Majeure:</w:t>
        <w:tab/>
        <w:t>Defined Acts of God, strikes</w:t>
      </w:r>
    </w:p>
    <w:p>
      <w:pPr>
        <w:pStyle w:val="Normal"/>
        <w:rPr>
          <w:sz w:val="20"/>
        </w:rPr>
      </w:pPr>
      <w:r>
        <w:rPr>
          <w:sz w:val="20"/>
        </w:rPr>
        <w:tab/>
        <w:tab/>
        <w:tab/>
        <w:t>After 30 contiguous days of non-performance due to force majeure,</w:t>
      </w:r>
    </w:p>
    <w:p>
      <w:pPr>
        <w:pStyle w:val="Normal"/>
        <w:ind w:start="1440" w:end="0"/>
        <w:rPr>
          <w:sz w:val="20"/>
        </w:rPr>
      </w:pPr>
      <w:r>
        <w:rPr>
          <w:sz w:val="20"/>
        </w:rPr>
        <w:t>the non-defaulting party has the right to cancel the balance of the agreement without penalty.</w:t>
      </w:r>
    </w:p>
    <w:p>
      <w:pPr>
        <w:pStyle w:val="Normal"/>
        <w:rPr>
          <w:sz w:val="20"/>
        </w:rPr>
      </w:pPr>
      <w:r>
        <w:rPr>
          <w:sz w:val="20"/>
        </w:rPr>
        <w:t>Default:</w:t>
        <w:tab/>
        <w:tab/>
        <w:t>Verified by xyz protocol, Cisco router card 1001 or equivalent</w:t>
      </w:r>
    </w:p>
    <w:p>
      <w:pPr>
        <w:pStyle w:val="Normal"/>
        <w:rPr>
          <w:sz w:val="20"/>
        </w:rPr>
      </w:pPr>
      <w:r>
        <w:rPr>
          <w:sz w:val="20"/>
        </w:rPr>
        <w:tab/>
        <w:tab/>
        <w:tab/>
        <w:t>Each day or portion thereof, penalty is 3x daily rate.</w:t>
      </w:r>
    </w:p>
    <w:p>
      <w:pPr>
        <w:pStyle w:val="Normal"/>
        <w:rPr>
          <w:sz w:val="20"/>
        </w:rPr>
      </w:pPr>
      <w:r>
        <w:rPr>
          <w:sz w:val="20"/>
        </w:rPr>
        <w:tab/>
        <w:tab/>
        <w:tab/>
        <w:t>Default persisting more than 10 contiguous days, penalty is 5x monthly rate,</w:t>
      </w:r>
    </w:p>
    <w:p>
      <w:pPr>
        <w:pStyle w:val="Normal"/>
        <w:rPr>
          <w:sz w:val="20"/>
        </w:rPr>
      </w:pPr>
      <w:r>
        <w:rPr>
          <w:sz w:val="20"/>
        </w:rPr>
        <w:tab/>
        <w:tab/>
        <w:t>and non-defaulting party has right to cancel remaining portion of agreement</w:t>
      </w:r>
    </w:p>
    <w:p>
      <w:pPr>
        <w:pStyle w:val="Normal"/>
        <w:rPr>
          <w:sz w:val="20"/>
        </w:rPr>
      </w:pPr>
      <w:r>
        <w:rPr>
          <w:sz w:val="20"/>
        </w:rPr>
        <w:tab/>
        <w:tab/>
        <w:tab/>
        <w:t>Daily rate is monthly rate divided by 30.</w:t>
      </w:r>
    </w:p>
    <w:p>
      <w:pPr>
        <w:pStyle w:val="Normal"/>
        <w:rPr/>
      </w:pPr>
      <w:r>
        <w:rPr>
          <w:sz w:val="20"/>
        </w:rPr>
        <w:t>Settlement:</w:t>
        <w:tab/>
        <w:t>Physical, buyer to pay seller before the 20</w:t>
      </w:r>
      <w:r>
        <w:rPr>
          <w:sz w:val="20"/>
          <w:vertAlign w:val="superscript"/>
        </w:rPr>
        <w:t>th</w:t>
      </w:r>
      <w:r>
        <w:rPr>
          <w:sz w:val="20"/>
        </w:rPr>
        <w:t xml:space="preserve"> calendar day of the month following delivery.</w:t>
      </w:r>
    </w:p>
    <w:p>
      <w:pPr>
        <w:pStyle w:val="Normal"/>
        <w:rPr>
          <w:sz w:val="20"/>
        </w:rPr>
      </w:pPr>
      <w:r>
        <w:rPr>
          <w:sz w:val="20"/>
        </w:rPr>
        <w:t>Peak/Off-Peak:</w:t>
        <w:tab/>
        <w:t>Full time, peak and off-peak</w:t>
      </w:r>
    </w:p>
    <w:p>
      <w:pPr>
        <w:pStyle w:val="Normal"/>
        <w:rPr>
          <w:sz w:val="20"/>
        </w:rPr>
      </w:pPr>
      <w:r>
        <w:rPr>
          <w:sz w:val="20"/>
        </w:rPr>
        <w:t>Fixed Price:</w:t>
        <w:tab/>
        <w:t>$35,000 per month per contract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sz w:val="20"/>
        </w:rPr>
      </w:pPr>
      <w:r>
        <w:rPr>
          <w:b/>
          <w:sz w:val="20"/>
        </w:rPr>
        <w:t>_____________________________________________________________________________________</w:t>
      </w:r>
    </w:p>
    <w:p>
      <w:pPr>
        <w:pStyle w:val="Normal"/>
        <w:rPr>
          <w:b/>
          <w:sz w:val="20"/>
        </w:rPr>
      </w:pPr>
      <w:r>
        <w:rPr>
          <w:b/>
          <w:sz w:val="20"/>
        </w:rPr>
      </w:r>
    </w:p>
    <w:p>
      <w:pPr>
        <w:pStyle w:val="Heading1"/>
        <w:tabs>
          <w:tab w:val="left" w:pos="540" w:leader="none"/>
        </w:tabs>
        <w:ind w:hanging="0" w:start="0"/>
        <w:rPr>
          <w:rFonts w:ascii="Arial" w:hAnsi="Arial" w:cs="Arial"/>
        </w:rPr>
      </w:pPr>
      <w:r>
        <w:rPr>
          <w:rFonts w:cs="Arial" w:ascii="Arial" w:hAnsi="Arial"/>
        </w:rPr>
        <w:t>IP Market Needs</w:t>
      </w:r>
    </w:p>
    <w:p>
      <w:pPr>
        <w:pStyle w:val="Normal"/>
        <w:rPr>
          <w:rFonts w:ascii="Arial" w:hAnsi="Arial" w:cs="Arial"/>
          <w:b/>
          <w:sz w:val="20"/>
        </w:rPr>
      </w:pPr>
      <w:r>
        <w:rPr>
          <w:rFonts w:cs="Arial"/>
          <w:b/>
          <w:sz w:val="20"/>
        </w:rPr>
      </w:r>
    </w:p>
    <w:p>
      <w:pPr>
        <w:pStyle w:val="Normal"/>
        <w:numPr>
          <w:ilvl w:val="0"/>
          <w:numId w:val="4"/>
        </w:numPr>
        <w:rPr>
          <w:b/>
          <w:sz w:val="20"/>
        </w:rPr>
      </w:pPr>
      <w:r>
        <w:rPr>
          <w:b/>
          <w:sz w:val="20"/>
        </w:rPr>
        <w:t>Defined Level of Service</w:t>
        <w:tab/>
        <w:tab/>
      </w:r>
    </w:p>
    <w:p>
      <w:pPr>
        <w:pStyle w:val="Normal"/>
        <w:rPr>
          <w:sz w:val="20"/>
        </w:rPr>
      </w:pPr>
      <w:r>
        <w:rPr>
          <w:b/>
          <w:sz w:val="20"/>
        </w:rPr>
        <w:t>Define the firmest level of service (&gt;99.0%) that allows IP to be compared reasonably against TDM.</w:t>
      </w:r>
    </w:p>
    <w:p>
      <w:pPr>
        <w:pStyle w:val="Normal"/>
        <w:rPr>
          <w:b/>
          <w:sz w:val="20"/>
        </w:rPr>
      </w:pPr>
      <w:r>
        <w:rPr>
          <w:b/>
          <w:sz w:val="20"/>
        </w:rPr>
      </w:r>
    </w:p>
    <w:p>
      <w:pPr>
        <w:pStyle w:val="Normal"/>
        <w:numPr>
          <w:ilvl w:val="0"/>
          <w:numId w:val="4"/>
        </w:numPr>
        <w:rPr>
          <w:b/>
          <w:sz w:val="20"/>
        </w:rPr>
      </w:pPr>
      <w:r>
        <w:rPr>
          <w:b/>
          <w:sz w:val="20"/>
        </w:rPr>
        <w:t>Real-Time Audit Routers</w:t>
        <w:tab/>
        <w:tab/>
        <w:t>MAE-East, MAE-West</w:t>
      </w:r>
    </w:p>
    <w:p>
      <w:pPr>
        <w:pStyle w:val="Normal"/>
        <w:rPr>
          <w:b/>
          <w:sz w:val="20"/>
        </w:rPr>
      </w:pPr>
      <w:r>
        <w:rPr>
          <w:b/>
          <w:sz w:val="20"/>
        </w:rPr>
        <w:t>Routers that track and record operating reliability to insure available bandwidth is at the stated (&gt;99.0%) level of reliability.  Also, the routers should allow for intra-day peak/off-peak trading.</w:t>
      </w:r>
    </w:p>
    <w:p>
      <w:pPr>
        <w:pStyle w:val="Normal"/>
        <w:rPr>
          <w:b/>
          <w:sz w:val="20"/>
        </w:rPr>
      </w:pPr>
      <w:r>
        <w:rPr>
          <w:b/>
          <w:sz w:val="20"/>
        </w:rPr>
      </w:r>
    </w:p>
    <w:p>
      <w:pPr>
        <w:pStyle w:val="Normal"/>
        <w:numPr>
          <w:ilvl w:val="0"/>
          <w:numId w:val="4"/>
        </w:numPr>
        <w:rPr>
          <w:b/>
          <w:sz w:val="20"/>
        </w:rPr>
      </w:pPr>
      <w:r>
        <w:rPr>
          <w:b/>
          <w:sz w:val="20"/>
        </w:rPr>
        <w:t>MAE Priority Service</w:t>
        <w:tab/>
        <w:tab/>
        <w:t>MAE-East, MAE-West</w:t>
      </w:r>
    </w:p>
    <w:p>
      <w:pPr>
        <w:pStyle w:val="Normal"/>
        <w:rPr>
          <w:sz w:val="20"/>
        </w:rPr>
      </w:pPr>
      <w:r>
        <w:rPr>
          <w:b/>
          <w:sz w:val="20"/>
        </w:rPr>
        <w:t>Within the MAE itself, priority has to be given to the bandwidth designated as “firm”.</w:t>
      </w:r>
    </w:p>
    <w:p>
      <w:pPr>
        <w:pStyle w:val="Normal"/>
        <w:rPr>
          <w:sz w:val="20"/>
        </w:rPr>
      </w:pPr>
      <w:r>
        <w:rPr>
          <w:sz w:val="20"/>
        </w:rPr>
      </w:r>
    </w:p>
    <w:p>
      <w:pPr>
        <w:pStyle w:val="Normal"/>
        <w:rPr>
          <w:sz w:val="20"/>
        </w:rPr>
      </w:pPr>
      <w:r>
        <w:rPr>
          <w:sz w:val="20"/>
        </w:rPr>
      </w:r>
    </w:p>
    <w:p>
      <w:pPr>
        <w:pStyle w:val="Body"/>
        <w:rPr>
          <w:sz w:val="20"/>
        </w:rPr>
      </w:pPr>
      <w:r>
        <w:rPr>
          <w:sz w:val="20"/>
        </w:rPr>
      </w:r>
    </w:p>
    <w:p>
      <w:pPr>
        <w:pStyle w:val="Department"/>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9.4pt;width:69.85pt;height:69.1pt;mso-wrap-distance-left:9.05pt;mso-wrap-distance-right:9.05pt;mso-position-horizontal-relative:text;mso-position-vertical-relative:text" filled="f" o:ole="">
          <v:imagedata r:id="rId2" o:title=""/>
        </v:shape>
        <o:OLEObject Type="Embed" ProgID="" ShapeID="ole_rId1" DrawAspect="Content" ObjectID="_1918285175"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Bandwidth</w:t>
      <w:tab/>
      <w:t>1/10/2000</w:t>
      <w:tab/>
      <w:tab/>
      <w:t xml:space="preserve">             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abstractNum>
  <w:abstractNum w:abstractNumId="6">
    <w:lvl w:ilvl="0">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2000-01-19T11:55:00Z</dcterms:created>
  <dc:creator>Jeff Ford</dc:creator>
  <dc:description/>
  <dc:language>en-CA</dc:language>
  <cp:lastModifiedBy>madams</cp:lastModifiedBy>
  <cp:lastPrinted>2000-01-07T10:53:00Z</cp:lastPrinted>
  <dcterms:modified xsi:type="dcterms:W3CDTF">2000-01-19T11:55:00Z</dcterms:modified>
  <cp:revision>2</cp:revision>
  <dc:subject/>
  <dc:title>Eron Capital &amp; Trade Resources Memo</dc:title>
</cp:coreProperties>
</file>