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b/>
        <w:tab/>
        <w:t xml:space="preserve"> </w:t>
      </w:r>
    </w:p>
    <w:p>
      <w:pPr>
        <w:pStyle w:val="Heading2"/>
        <w:ind w:hanging="0" w:start="0"/>
        <w:rPr>
          <w:sz w:val="28"/>
        </w:rPr>
      </w:pPr>
      <w:r>
        <w:rPr>
          <w:sz w:val="28"/>
        </w:rPr>
        <w:t>Transportation Service Proposal</w:t>
      </w:r>
    </w:p>
    <w:p>
      <w:pPr>
        <w:pStyle w:val="Normal"/>
        <w:jc w:val="center"/>
        <w:rPr>
          <w:rFonts w:ascii="Times New Roman" w:hAnsi="Times New Roman" w:cs="Times New Roman"/>
          <w:b/>
          <w:bCs/>
          <w:sz w:val="28"/>
        </w:rPr>
      </w:pPr>
      <w:r>
        <w:rPr>
          <w:rFonts w:cs="Times New Roman" w:ascii="Times New Roman" w:hAnsi="Times New Roman"/>
          <w:b/>
          <w:bCs/>
          <w:sz w:val="28"/>
        </w:rPr>
        <w:t>for</w:t>
      </w:r>
    </w:p>
    <w:p>
      <w:pPr>
        <w:pStyle w:val="Normal"/>
        <w:jc w:val="center"/>
        <w:rPr>
          <w:rFonts w:ascii="Times New Roman" w:hAnsi="Times New Roman" w:cs="Times New Roman"/>
          <w:b/>
          <w:bCs/>
          <w:sz w:val="28"/>
        </w:rPr>
      </w:pPr>
      <w:r>
        <w:rPr>
          <w:rFonts w:cs="Times New Roman" w:ascii="Times New Roman" w:hAnsi="Times New Roman"/>
          <w:b/>
          <w:bCs/>
          <w:sz w:val="28"/>
        </w:rPr>
        <w:t>Enron Global Markets, LLC</w:t>
      </w:r>
    </w:p>
    <w:p>
      <w:pPr>
        <w:pStyle w:val="Normal"/>
        <w:jc w:val="center"/>
        <w:rPr>
          <w:rFonts w:ascii="Times New Roman" w:hAnsi="Times New Roman" w:cs="Times New Roman"/>
          <w:b/>
          <w:bCs/>
          <w:sz w:val="28"/>
        </w:rPr>
      </w:pPr>
      <w:r>
        <w:rPr>
          <w:rFonts w:cs="Times New Roman" w:ascii="Times New Roman" w:hAnsi="Times New Roman"/>
          <w:b/>
          <w:bCs/>
          <w:sz w:val="28"/>
        </w:rPr>
      </w:r>
    </w:p>
    <w:p>
      <w:pPr>
        <w:pStyle w:val="Heading1"/>
        <w:ind w:hanging="0" w:start="0"/>
        <w:rPr>
          <w:i/>
          <w:i/>
          <w:iCs/>
          <w:u w:val="single"/>
        </w:rPr>
      </w:pPr>
      <w:r>
        <w:rPr>
          <w:i/>
          <w:iCs/>
          <w:u w:val="single"/>
        </w:rPr>
        <w:t>(For discussion purposes only- this does not constitute an offer</w:t>
      </w:r>
    </w:p>
    <w:p>
      <w:pPr>
        <w:pStyle w:val="Heading1"/>
        <w:ind w:hanging="0" w:start="0"/>
        <w:rPr>
          <w:i/>
          <w:i/>
          <w:iCs/>
          <w:u w:val="single"/>
        </w:rPr>
      </w:pPr>
      <w:r>
        <w:rPr>
          <w:i/>
          <w:iCs/>
          <w:u w:val="single"/>
        </w:rPr>
        <w:t xml:space="preserve"> </w:t>
      </w:r>
      <w:r>
        <w:rPr>
          <w:i/>
          <w:iCs/>
          <w:u w:val="single"/>
        </w:rPr>
        <w:t>for transportation service)</w:t>
      </w:r>
    </w:p>
    <w:p>
      <w:pPr>
        <w:pStyle w:val="Heading1"/>
        <w:ind w:hanging="0" w:start="0"/>
        <w:rPr>
          <w:i/>
          <w:i/>
          <w:iCs/>
          <w:sz w:val="28"/>
          <w:u w:val="single"/>
        </w:rPr>
      </w:pPr>
      <w:r>
        <w:rPr>
          <w:i/>
          <w:iCs/>
          <w:sz w:val="28"/>
          <w:u w:val="single"/>
        </w:rPr>
      </w:r>
    </w:p>
    <w:p>
      <w:pPr>
        <w:pStyle w:val="Normal"/>
        <w:rPr>
          <w:rFonts w:ascii="Times New Roman" w:hAnsi="Times New Roman" w:cs="Times New Roman"/>
          <w:i/>
          <w:i/>
          <w:iCs/>
          <w:sz w:val="24"/>
          <w:u w:val="single"/>
        </w:rPr>
      </w:pPr>
      <w:r>
        <w:rPr>
          <w:rFonts w:cs="Times New Roman" w:ascii="Times New Roman" w:hAnsi="Times New Roman"/>
          <w:i/>
          <w:iCs/>
          <w:sz w:val="24"/>
          <w:u w:val="single"/>
        </w:rPr>
      </w:r>
    </w:p>
    <w:p>
      <w:pPr>
        <w:pStyle w:val="Normal"/>
        <w:rPr/>
      </w:pPr>
      <w:r>
        <w:rPr>
          <w:rFonts w:cs="Times New Roman" w:ascii="Times New Roman" w:hAnsi="Times New Roman"/>
          <w:b/>
          <w:bCs/>
          <w:sz w:val="24"/>
        </w:rPr>
        <w:t>Shipper:</w:t>
      </w:r>
      <w:r>
        <w:rPr>
          <w:rFonts w:cs="Times New Roman" w:ascii="Times New Roman" w:hAnsi="Times New Roman"/>
          <w:sz w:val="24"/>
        </w:rPr>
        <w:t xml:space="preserve">  Enron Global Markets, LLC (“Shipper”)</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Type of Service:</w:t>
      </w:r>
      <w:r>
        <w:rPr>
          <w:rFonts w:cs="Times New Roman" w:ascii="Times New Roman" w:hAnsi="Times New Roman"/>
          <w:sz w:val="24"/>
        </w:rPr>
        <w:t xml:space="preserve"> Interruptible Backhaul Transportation Service (Rate Schedule ITS-WD or other rate schedule which may become applicable)  </w:t>
      </w:r>
    </w:p>
    <w:p>
      <w:pPr>
        <w:pStyle w:val="Normal"/>
        <w:rPr>
          <w:rFonts w:ascii="Times New Roman" w:hAnsi="Times New Roman" w:cs="Times New Roman"/>
          <w:b/>
          <w:sz w:val="24"/>
        </w:rPr>
      </w:pPr>
      <w:r>
        <w:rPr>
          <w:rFonts w:cs="Times New Roman" w:ascii="Times New Roman" w:hAnsi="Times New Roman"/>
          <w:b/>
          <w:sz w:val="24"/>
        </w:rPr>
      </w:r>
    </w:p>
    <w:p>
      <w:pPr>
        <w:pStyle w:val="Normal"/>
        <w:rPr/>
      </w:pPr>
      <w:r>
        <w:rPr>
          <w:rFonts w:cs="Times New Roman" w:ascii="Times New Roman" w:hAnsi="Times New Roman"/>
          <w:b/>
          <w:sz w:val="24"/>
        </w:rPr>
        <w:t>Volume:</w:t>
      </w:r>
      <w:r>
        <w:rPr>
          <w:rFonts w:cs="Times New Roman" w:ascii="Times New Roman" w:hAnsi="Times New Roman"/>
          <w:sz w:val="24"/>
        </w:rPr>
        <w:t xml:space="preserve">  Up to 350,000 MMBtu/Day</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Term:</w:t>
      </w:r>
      <w:r>
        <w:rPr>
          <w:rFonts w:cs="Times New Roman" w:ascii="Times New Roman" w:hAnsi="Times New Roman"/>
          <w:sz w:val="24"/>
        </w:rPr>
        <w:t xml:space="preserve"> Up to ten years, to become effective no later than January 1, 2005 and to expire no later than December 31, 2015.  This arrangement will terminate on January 1, 2005 if volumes are not flowing by that date, or will terminate earlier if the proposed Calypso Pipeline FERC certificate application is withdrawn, on the date of such withdrawal. </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 xml:space="preserve">Receipt Point(s): </w:t>
      </w:r>
      <w:r>
        <w:rPr>
          <w:rFonts w:cs="Times New Roman" w:ascii="Times New Roman" w:hAnsi="Times New Roman"/>
          <w:sz w:val="24"/>
        </w:rPr>
        <w:t xml:space="preserve"> Proposed Calypso Pipeline Interconnect in Broward County, Florida  </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Delivery Point(s)</w:t>
      </w:r>
      <w:r>
        <w:rPr>
          <w:rFonts w:cs="Times New Roman" w:ascii="Times New Roman" w:hAnsi="Times New Roman"/>
          <w:sz w:val="24"/>
        </w:rPr>
        <w:t>: Specific delivery points to be identified in Texas, Louisiana, Mississippi or Alabama.</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Transportation Rate</w:t>
      </w:r>
      <w:r>
        <w:rPr>
          <w:rFonts w:cs="Times New Roman" w:ascii="Times New Roman" w:hAnsi="Times New Roman"/>
          <w:bCs/>
          <w:sz w:val="24"/>
        </w:rPr>
        <w:t xml:space="preserve">:  The </w:t>
      </w:r>
      <w:r>
        <w:rPr>
          <w:rFonts w:cs="Times New Roman" w:ascii="Times New Roman" w:hAnsi="Times New Roman"/>
          <w:sz w:val="24"/>
        </w:rPr>
        <w:t xml:space="preserve">transportation rate will be the lower of:  the maximum FGT FERC Gas Tariff rate or $0.10 per MMBtu/day, exclusive of applicable surcharges.  Any applicable GRI surcharge shall be discounted to $0.00; provided however, that such discount shall immediately terminate in the event FGT is required to absorb any costs associated with discounting the Gas Research Institute (GRI) surcharge or FGT is prohibited by law from granting such discount. </w:t>
      </w:r>
    </w:p>
    <w:p>
      <w:pPr>
        <w:pStyle w:val="Normal"/>
        <w:rPr>
          <w:rFonts w:ascii="Times New Roman" w:hAnsi="Times New Roman" w:cs="Times New Roman"/>
          <w:b/>
          <w:sz w:val="24"/>
        </w:rPr>
      </w:pPr>
      <w:r>
        <w:rPr>
          <w:rFonts w:cs="Times New Roman" w:ascii="Times New Roman" w:hAnsi="Times New Roman"/>
          <w:b/>
          <w:sz w:val="24"/>
        </w:rPr>
      </w:r>
    </w:p>
    <w:p>
      <w:pPr>
        <w:pStyle w:val="Normal"/>
        <w:rPr/>
      </w:pPr>
      <w:r>
        <w:rPr>
          <w:rFonts w:cs="Times New Roman" w:ascii="Times New Roman" w:hAnsi="Times New Roman"/>
          <w:b/>
          <w:sz w:val="24"/>
        </w:rPr>
        <w:t xml:space="preserve">Backhaul Transportation Service:  </w:t>
      </w:r>
      <w:r>
        <w:rPr>
          <w:rFonts w:cs="Times New Roman" w:ascii="Times New Roman" w:hAnsi="Times New Roman"/>
          <w:bCs/>
          <w:sz w:val="24"/>
        </w:rPr>
        <w:t xml:space="preserve">Backhaul transportation service will be subject to available pipeline capacity, receipt and delivery point availability, and operational conditions on the pipeline.  Backhaul transportation service will be scheduled to the extent there is adequate forwardhaul transportation through the backhaul flow path and physical deliveries can be effectuated or there is physical gas to displace at physical delivery points.  </w:t>
      </w:r>
    </w:p>
    <w:p>
      <w:pPr>
        <w:pStyle w:val="Normal"/>
        <w:rPr>
          <w:rFonts w:ascii="Times New Roman" w:hAnsi="Times New Roman" w:cs="Times New Roman"/>
          <w:b/>
          <w:bCs/>
          <w:sz w:val="24"/>
        </w:rPr>
      </w:pPr>
      <w:r>
        <w:rPr>
          <w:rFonts w:cs="Times New Roman" w:ascii="Times New Roman" w:hAnsi="Times New Roman"/>
          <w:b/>
          <w:bCs/>
          <w:sz w:val="24"/>
        </w:rPr>
      </w:r>
    </w:p>
    <w:p>
      <w:pPr>
        <w:pStyle w:val="Normal"/>
        <w:rPr/>
      </w:pPr>
      <w:r>
        <w:rPr>
          <w:rFonts w:cs="Times New Roman" w:ascii="Times New Roman" w:hAnsi="Times New Roman"/>
          <w:b/>
          <w:sz w:val="24"/>
        </w:rPr>
        <w:t>Fuel Reimbursement Charge:</w:t>
      </w:r>
      <w:r>
        <w:rPr>
          <w:rFonts w:cs="Times New Roman" w:ascii="Times New Roman" w:hAnsi="Times New Roman"/>
          <w:sz w:val="24"/>
        </w:rPr>
        <w:t xml:space="preserve">  Fuel will be 0% for backhaul transportation</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bCs/>
          <w:sz w:val="24"/>
        </w:rPr>
        <w:t>Receipt / Delivery Point and PipelineFacilities</w:t>
      </w:r>
      <w:r>
        <w:rPr>
          <w:rFonts w:cs="Times New Roman" w:ascii="Times New Roman" w:hAnsi="Times New Roman"/>
          <w:sz w:val="24"/>
        </w:rPr>
        <w:t>: Shipper shall reimburse FGT for all costs associated with the modification or installation of: any meter, regulation, or gas conditioning facilities at the receipt or delivery point(s), or any other pipeline facilities required to effectuate the receipt or delivery of gas or to make the gas meet quality specifications.</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bCs/>
          <w:sz w:val="24"/>
        </w:rPr>
        <w:t xml:space="preserve">Gas Quality – Proposed Receipt Point:  </w:t>
      </w:r>
      <w:r>
        <w:rPr>
          <w:rFonts w:cs="Times New Roman" w:ascii="Times New Roman" w:hAnsi="Times New Roman"/>
          <w:sz w:val="24"/>
        </w:rPr>
        <w:t>The quality of the gas at the proposed receipt point shall be governed by the quality specifications set forth in the General Terms and Conditions of FGT’s FERC Gas Tariff, including the gas’ merchantability.</w:t>
      </w:r>
    </w:p>
    <w:p>
      <w:pPr>
        <w:pStyle w:val="Normal"/>
        <w:rPr>
          <w:rFonts w:ascii="Times New Roman" w:hAnsi="Times New Roman" w:cs="Times New Roman"/>
          <w:b/>
          <w:sz w:val="24"/>
        </w:rPr>
      </w:pPr>
      <w:r>
        <w:rPr>
          <w:rFonts w:cs="Times New Roman" w:ascii="Times New Roman" w:hAnsi="Times New Roman"/>
          <w:b/>
          <w:sz w:val="24"/>
        </w:rPr>
      </w:r>
    </w:p>
    <w:p>
      <w:pPr>
        <w:pStyle w:val="Normal"/>
        <w:rPr/>
      </w:pPr>
      <w:r>
        <w:rPr>
          <w:rFonts w:cs="Times New Roman" w:ascii="Times New Roman" w:hAnsi="Times New Roman"/>
          <w:b/>
          <w:bCs/>
          <w:sz w:val="24"/>
        </w:rPr>
        <w:t xml:space="preserve">Other Provisions:  </w:t>
      </w:r>
      <w:r>
        <w:rPr>
          <w:rFonts w:cs="Times New Roman" w:ascii="Times New Roman" w:hAnsi="Times New Roman"/>
          <w:sz w:val="24"/>
        </w:rPr>
        <w:t>This rate shall terminate and the maximum rate shall become effective on the effective date of any order of the Federal Energy Regulatory Commission, or any successor agency (“Commission”) which orders a change in FGT’s currently effective cost allocation, rate design, discount volume adjustment, or fuel or surcharge methodology which would render the rate granted herein uneconomic to FGT, in FGT’s sole judgment.  Further, Shipper agrees to support the cost allocation, rate design and the discount volume adjustment methodology underlying FGT’s existing rates.</w:t>
      </w:r>
    </w:p>
    <w:p>
      <w:pPr>
        <w:pStyle w:val="Normal"/>
        <w:rPr>
          <w:rFonts w:ascii="Times New Roman" w:hAnsi="Times New Roman" w:cs="Times New Roman"/>
          <w:sz w:val="24"/>
        </w:rPr>
      </w:pPr>
      <w:r>
        <w:rPr>
          <w:rFonts w:cs="Times New Roman" w:ascii="Times New Roman" w:hAnsi="Times New Roman"/>
          <w:sz w:val="24"/>
        </w:rPr>
      </w:r>
    </w:p>
    <w:p>
      <w:pPr>
        <w:pStyle w:val="Normal"/>
        <w:autoSpaceDE w:val="false"/>
        <w:rPr>
          <w:rFonts w:ascii="Times New Roman" w:hAnsi="Times New Roman" w:cs="Times New Roman"/>
          <w:color w:val="000000"/>
          <w:sz w:val="24"/>
        </w:rPr>
      </w:pPr>
      <w:r>
        <w:rPr>
          <w:rFonts w:cs="Times New Roman" w:ascii="Times New Roman" w:hAnsi="Times New Roman"/>
          <w:color w:val="000000"/>
          <w:sz w:val="24"/>
        </w:rPr>
        <w:t>In the event of a change in economic, competitive or operational circumstances, which impacts FGT, in FGT’s sole judgment, the transportation rate may be adjusted by FGT to reflect the change in circumstances.</w:t>
      </w:r>
    </w:p>
    <w:p>
      <w:pPr>
        <w:pStyle w:val="Normal"/>
        <w:autoSpaceDE w:val="false"/>
        <w:rPr>
          <w:rFonts w:ascii="Times New Roman" w:hAnsi="Times New Roman" w:cs="Arial"/>
          <w:color w:val="000000"/>
          <w:sz w:val="24"/>
        </w:rPr>
      </w:pPr>
      <w:r>
        <w:rPr>
          <w:rFonts w:cs="Arial" w:ascii="Times New Roman" w:hAnsi="Times New Roman"/>
          <w:color w:val="000000"/>
          <w:sz w:val="24"/>
        </w:rPr>
      </w:r>
    </w:p>
    <w:p>
      <w:pPr>
        <w:pStyle w:val="BodyTextIndent"/>
        <w:ind w:start="0" w:end="0"/>
        <w:rPr/>
      </w:pPr>
      <w:r>
        <w:rPr>
          <w:b/>
          <w:bCs/>
        </w:rPr>
        <w:t xml:space="preserve">Approvals:  </w:t>
      </w:r>
      <w:r>
        <w:rPr/>
        <w:t>This proposal is subject to the approval of the Board of Directors, the execution of definitive agreements, and the receipt of all necessary permits and applicable state and federal regulatory approvals in a form acceptable to FGT.  This proposal is strictly for the purpose of outlining terms to be negotiated and in no way binds either party.</w:t>
      </w:r>
    </w:p>
    <w:p>
      <w:pPr>
        <w:pStyle w:val="BodyTextIndent"/>
        <w:ind w:start="0" w:end="0"/>
        <w:rPr/>
      </w:pPr>
      <w:r>
        <w:rPr/>
      </w:r>
    </w:p>
    <w:p>
      <w:pPr>
        <w:pStyle w:val="BodyTextIndent"/>
        <w:ind w:start="0" w:end="0"/>
        <w:rPr/>
      </w:pPr>
      <w:r>
        <w:rPr>
          <w:b/>
          <w:bCs/>
        </w:rPr>
        <w:t xml:space="preserve">Confidentiality:  </w:t>
      </w:r>
      <w:r>
        <w:rPr/>
        <w:t>The terms in this proposal are subject to change until a final agreement is reached.  This proposal is to facilitate negotiation, preparation, and execution of definitive agreements.</w:t>
      </w:r>
      <w:r>
        <w:rPr>
          <w:b/>
          <w:bCs/>
        </w:rPr>
        <w:t xml:space="preserve">  </w:t>
      </w:r>
      <w:r>
        <w:rPr/>
        <w:t>All service options and terms presented in this proposal are considered confidential between Shipper and Florida Gas Transmission Company.</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18"/>
        </w:rPr>
      </w:pPr>
      <w:r>
        <w:rPr>
          <w:rFonts w:cs="Times New Roman" w:ascii="Times New Roman" w:hAnsi="Times New Roman"/>
          <w:sz w:val="18"/>
        </w:rPr>
        <w:t>backhauloutline</w:t>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Times New Roman" w:hAnsi="Times New Roman" w:cs="Times New Roman"/>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2001-11-01T17:24:00Z</dcterms:created>
  <dc:creator>Jack Boatman</dc:creator>
  <dc:description/>
  <dc:language>en-CA</dc:language>
  <cp:lastModifiedBy>jboatma</cp:lastModifiedBy>
  <cp:lastPrinted>2001-11-02T08:49:00Z</cp:lastPrinted>
  <dcterms:modified xsi:type="dcterms:W3CDTF">2001-11-02T12:19:00Z</dcterms:modified>
  <cp:revision>5</cp:revision>
  <dc:subject/>
  <dc:title>Black Marlin Pipeline Company</dc:title>
</cp:coreProperties>
</file>