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hanging="720" w:start="720" w:end="0"/>
        <w:rPr>
          <w:i/>
          <w:i/>
          <w:iCs/>
        </w:rPr>
      </w:pPr>
      <w:r>
        <w:rPr/>
        <w:tab/>
        <w:t>3.</w:t>
      </w:r>
    </w:p>
    <w:p>
      <w:pPr>
        <w:pStyle w:val="Normal"/>
        <w:ind w:hanging="720" w:start="720" w:end="0"/>
        <w:rPr>
          <w:i/>
          <w:i/>
          <w:iCs/>
        </w:rPr>
      </w:pPr>
      <w:r>
        <w:rPr>
          <w:i/>
          <w:iCs/>
        </w:rPr>
      </w:r>
    </w:p>
    <w:p>
      <w:pPr>
        <w:pStyle w:val="Normal"/>
        <w:ind w:start="720" w:end="0"/>
        <w:rPr/>
      </w:pPr>
      <w:r>
        <w:rPr/>
        <w:t xml:space="preserve">Consolidated financial statements generally make it easier to appraise total performance and overall risk, which is important to investors seeking to make decisions based on the information contained in financial statements. If statements are not consolidated,  the assumption is that the controlling company has the ability to influence, and consequently individual company statements may be distorted my intercompany transactions. In such a case, the financial statements of the controlled company may not provide an accurate means of assessing performance. Consolidation cancels out any gains and losses on intercompany transactions, providing a more accurate picture than if the financial statements of each company were simply combined. </w:t>
      </w:r>
    </w:p>
    <w:p>
      <w:pPr>
        <w:pStyle w:val="Normal"/>
        <w:ind w:hanging="720" w:start="720" w:end="0"/>
        <w:rPr/>
      </w:pPr>
      <w:r>
        <w:rPr/>
      </w:r>
    </w:p>
    <w:p>
      <w:pPr>
        <w:pStyle w:val="Normal"/>
        <w:ind w:hanging="720" w:start="720" w:end="0"/>
        <w:rPr/>
      </w:pPr>
      <w:r>
        <w:rPr/>
        <w:tab/>
        <w:t>However, consolidation can also make it more difficult to evaluate the profitability and financial condition of any single company within the group, often of importance to creditors, analysts, and minority investors. Assets and liabilities cannot be associated with individual entities. By requiring consolidation of ALL controlled investee companies, regardless of the percentage of ownership, the benefits of consolidation may not outweigh the costs. In cases where control is minimal, with few intercompany transactions, the unconsolidated financial statements of both controlling and controlled companies might present a more meaningful assessment of each company’s financial health.</w:t>
      </w:r>
    </w:p>
    <w:p>
      <w:pPr>
        <w:pStyle w:val="Normal"/>
        <w:ind w:hanging="720" w:start="720" w:end="0"/>
        <w:rPr/>
      </w:pPr>
      <w:r>
        <w:rPr/>
      </w:r>
    </w:p>
    <w:p>
      <w:pPr>
        <w:pStyle w:val="Normal"/>
        <w:ind w:hanging="720" w:start="720" w:end="0"/>
        <w:rPr/>
      </w:pPr>
      <w:r>
        <w:rPr/>
        <w:tab/>
        <w:t>If FASB does not require consolidation of all controlled investee companies, the decision of whether or not to consolidate statements would be left to management. This would give management the flexibility to adopt the practice which is most meaningful its particular situation. Company management is in the best position to make the decision on whether or not consolidation makes sense.</w:t>
      </w:r>
    </w:p>
    <w:p>
      <w:pPr>
        <w:pStyle w:val="BodyTextIndent"/>
        <w:widowControl/>
        <w:ind w:hanging="0" w:end="0"/>
        <w:rPr>
          <w:i w:val="false"/>
          <w:i w:val="false"/>
          <w:iCs w:val="false"/>
          <w:sz w:val="20"/>
          <w:szCs w:val="20"/>
        </w:rPr>
      </w:pPr>
      <w:r>
        <w:rPr>
          <w:i w:val="false"/>
          <w:iCs w:val="false"/>
          <w:sz w:val="20"/>
          <w:szCs w:val="20"/>
        </w:rPr>
      </w:r>
    </w:p>
    <w:p>
      <w:pPr>
        <w:pStyle w:val="BodyTextIndent"/>
        <w:widowControl/>
        <w:ind w:hanging="0" w:end="0"/>
        <w:rPr>
          <w:i w:val="false"/>
          <w:i w:val="false"/>
          <w:iCs w:val="false"/>
          <w:sz w:val="20"/>
          <w:szCs w:val="20"/>
        </w:rPr>
      </w:pPr>
      <w:r>
        <w:rPr>
          <w:i w:val="false"/>
          <w:iCs w:val="false"/>
          <w:sz w:val="20"/>
          <w:szCs w:val="20"/>
        </w:rPr>
        <w:t>4.</w:t>
      </w:r>
    </w:p>
    <w:p>
      <w:pPr>
        <w:pStyle w:val="BodyTextIndent"/>
        <w:widowControl/>
        <w:ind w:hanging="0" w:end="0"/>
        <w:rPr>
          <w:i w:val="false"/>
          <w:i w:val="false"/>
          <w:iCs w:val="false"/>
          <w:sz w:val="20"/>
          <w:szCs w:val="20"/>
        </w:rPr>
      </w:pPr>
      <w:r>
        <w:rPr>
          <w:i w:val="false"/>
          <w:iCs w:val="false"/>
          <w:sz w:val="20"/>
          <w:szCs w:val="20"/>
        </w:rPr>
      </w:r>
    </w:p>
    <w:p>
      <w:pPr>
        <w:pStyle w:val="BodyTextIndent"/>
        <w:widowControl/>
        <w:ind w:hanging="0" w:end="0"/>
        <w:rPr>
          <w:i w:val="false"/>
          <w:i w:val="false"/>
          <w:iCs w:val="false"/>
          <w:sz w:val="20"/>
          <w:szCs w:val="20"/>
        </w:rPr>
      </w:pPr>
      <w:r>
        <w:rPr>
          <w:i w:val="false"/>
          <w:iCs w:val="false"/>
          <w:sz w:val="20"/>
          <w:szCs w:val="20"/>
        </w:rPr>
        <w:t>Since Azteca would still effectively control Mohawk, and the control is not temporary, Azteca would be required to include Mohawk in its consolidated financial statements. If the joint venture were jointly controlled, Azteca could exclude Mohawk from consolidation under the Royal Decree on the grounds that “conditions exist that restrict its ability to exercise its right to the company’s asstes or management.” If Mohawk is therefore excluded from consolidation, Azteca would havethe choice of using either the equity method or the proportionate method. Under the equity method, Mohawk’s income and losses would be reflected on Azteca’s financial statements. If Azteca uses the proportional method, it would reflect 50% of Mohawk’s balances on its consolidated statements. However, if despite the sale of 50% of its stake in Mohawk, Azteca still retians sole control, it would be required to include Mohawk in consolidated statements because the subsidiary interest would not qualify for exclusion by the other guidelines identified in the Royal Decree.</w:t>
      </w:r>
    </w:p>
    <w:p>
      <w:pPr>
        <w:pStyle w:val="Normal"/>
        <w:rPr>
          <w:i/>
          <w:i/>
          <w:iCs/>
          <w:sz w:val="20"/>
          <w:szCs w:val="20"/>
        </w:rPr>
      </w:pPr>
      <w:r>
        <w:rPr>
          <w:i/>
          <w:iCs/>
          <w:sz w:val="20"/>
          <w:szCs w:val="20"/>
        </w:rPr>
      </w:r>
    </w:p>
    <w:sectPr>
      <w:type w:val="nextPage"/>
      <w:pgSz w:w="12240" w:h="15840"/>
      <w:pgMar w:left="1797" w:right="1797"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widowControl w:val="false"/>
      <w:ind w:hanging="720" w:start="720" w:end="0"/>
    </w:pPr>
    <w:rPr>
      <w:i/>
      <w:iCs/>
      <w:sz w:val="24"/>
      <w:szCs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2000-10-09T03:15:00Z</dcterms:created>
  <dc:creator>Oracle Internal Systems</dc:creator>
  <dc:description/>
  <dc:language>en-CA</dc:language>
  <cp:lastModifiedBy>Oracle Internal Systems</cp:lastModifiedBy>
  <dcterms:modified xsi:type="dcterms:W3CDTF">2000-10-09T03:19:00Z</dcterms:modified>
  <cp:revision>2</cp:revision>
  <dc:subject/>
  <dc:title>	3</dc:title>
</cp:coreProperties>
</file>