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672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67230"/>
                        </a:xfrm>
                        <a:prstGeom prst="rect"/>
                        <a:solidFill>
                          <a:srgbClr val="FFFFFF">
                            <a:alpha val="0"/>
                          </a:srgbClr>
                        </a:solidFill>
                      </wps:spPr>
                      <wps:txbx>
                        <w:txbxContent>
                          <w:p>
                            <w:pPr>
                              <w:pStyle w:val="Normal"/>
                              <w:widowControl/>
                              <w:bidi w:val="0"/>
                              <w:spacing w:before="60" w:after="60"/>
                              <w:rPr/>
                            </w:pPr>
                            <w:r>
                              <w:rPr/>
                              <w:object w:dxaOrig="453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8.15pt;height:117.4pt" filled="f" o:ole="">
                                  <v:imagedata r:id="rId3" o:title=""/>
                                </v:shape>
                                <o:OLEObject Type="Embed" ProgID="" ShapeID="ole_rId2" DrawAspect="Content" ObjectID="_1053935630" r:id="rId2"/>
                              </w:object>
                            </w:r>
                          </w:p>
                          <w:p>
                            <w:pPr>
                              <w:pStyle w:val="Normal"/>
                              <w:rPr/>
                            </w:pPr>
                            <w:r>
                              <w:rPr/>
                            </w:r>
                          </w:p>
                          <w:p>
                            <w:pPr>
                              <w:pStyle w:val="Normal"/>
                              <w:spacing w:before="0" w:after="0"/>
                              <w:rPr>
                                <w:rFonts w:ascii="Arial" w:hAnsi="Arial" w:eastAsia="Arial" w:cs="Arial"/>
                              </w:rPr>
                            </w:pPr>
                            <w:r>
                              <w:rPr>
                                <w:rFonts w:eastAsia="Arial" w:cs="Arial" w:ascii="Arial" w:hAnsi="Arial"/>
                                <w:b/>
                                <w:bCs/>
                                <w:sz w:val="24"/>
                                <w:szCs w:val="24"/>
                              </w:rPr>
                              <w:t>InterOffice Memo</w:t>
                            </w:r>
                          </w:p>
                        </w:txbxContent>
                      </wps:txbx>
                      <wps:bodyPr anchor="t" lIns="0" tIns="0" rIns="0" bIns="0">
                        <a:noAutofit/>
                      </wps:bodyPr>
                    </wps:wsp>
                  </a:graphicData>
                </a:graphic>
              </wp:anchor>
            </w:drawing>
          </mc:Choice>
          <mc:Fallback>
            <w:pict>
              <v:rect fillcolor="#FFFFFF" style="position:absolute;rotation:-0;width:300.8pt;height:154.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4530" w:dyaOrig="45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8.15pt;height:117.4pt" filled="f" o:ole="">
                            <v:imagedata r:id="rId5" o:title=""/>
                          </v:shape>
                          <o:OLEObject Type="Embed" ProgID="" ShapeID="ole_rId4" DrawAspect="Content" ObjectID="_1640688563" r:id="rId4"/>
                        </w:object>
                      </w:r>
                    </w:p>
                    <w:p>
                      <w:pPr>
                        <w:pStyle w:val="Normal"/>
                        <w:rPr/>
                      </w:pPr>
                      <w:r>
                        <w:rPr/>
                      </w:r>
                    </w:p>
                    <w:p>
                      <w:pPr>
                        <w:pStyle w:val="Normal"/>
                        <w:spacing w:before="0" w:after="0"/>
                        <w:rPr>
                          <w:rFonts w:ascii="Arial" w:hAnsi="Arial" w:eastAsia="Arial" w:cs="Arial"/>
                        </w:rPr>
                      </w:pPr>
                      <w:r>
                        <w:rPr>
                          <w:rFonts w:eastAsia="Arial" w:cs="Arial" w:ascii="Arial" w:hAnsi="Arial"/>
                          <w:b/>
                          <w:bCs/>
                          <w:sz w:val="24"/>
                          <w:szCs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eastAsia="Arial" w:cs="Arial"/>
              </w:rPr>
            </w:pPr>
            <w:r>
              <w:rPr>
                <w:rFonts w:eastAsia="Arial" w:cs="Arial" w:ascii="Arial" w:hAnsi="Arial"/>
                <w:b/>
                <w:bCs/>
              </w:rPr>
              <w:t>To:</w:t>
            </w:r>
          </w:p>
        </w:tc>
        <w:tc>
          <w:tcPr>
            <w:tcW w:w="7560" w:type="dxa"/>
            <w:tcBorders/>
          </w:tcPr>
          <w:p>
            <w:pPr>
              <w:pStyle w:val="To"/>
              <w:spacing w:before="60" w:after="60"/>
              <w:rPr>
                <w:rFonts w:ascii="Arial" w:hAnsi="Arial" w:eastAsia="Arial" w:cs="Arial"/>
              </w:rPr>
            </w:pPr>
            <w:bookmarkStart w:id="0" w:name="To"/>
            <w:bookmarkEnd w:id="0"/>
            <w:r>
              <w:rPr>
                <w:rFonts w:eastAsia="Arial" w:cs="Arial" w:ascii="Arial" w:hAnsi="Arial"/>
              </w:rPr>
              <w:t xml:space="preserve">Shari Stack, Alan Aronowitz, Gary Hickerson, Paul Quilkey, Harry </w:t>
            </w:r>
            <w:r>
              <w:rPr>
                <w:rFonts w:eastAsia="Arial" w:cs="Arial" w:ascii="Arial" w:hAnsi="Arial"/>
                <w:color w:val="000000"/>
              </w:rPr>
              <w:t>Arora</w:t>
            </w:r>
          </w:p>
        </w:tc>
      </w:tr>
      <w:tr>
        <w:trPr/>
        <w:tc>
          <w:tcPr>
            <w:tcW w:w="1188" w:type="dxa"/>
            <w:tcBorders/>
          </w:tcPr>
          <w:p>
            <w:pPr>
              <w:pStyle w:val="Normal"/>
              <w:spacing w:before="60" w:after="60"/>
              <w:rPr>
                <w:rFonts w:ascii="Arial" w:hAnsi="Arial" w:eastAsia="Arial" w:cs="Arial"/>
              </w:rPr>
            </w:pPr>
            <w:r>
              <w:rPr>
                <w:rFonts w:eastAsia="Arial" w:cs="Arial" w:ascii="Arial" w:hAnsi="Arial"/>
                <w:b/>
                <w:bCs/>
              </w:rPr>
              <w:t>From:</w:t>
            </w:r>
          </w:p>
        </w:tc>
        <w:tc>
          <w:tcPr>
            <w:tcW w:w="7560" w:type="dxa"/>
            <w:tcBorders/>
          </w:tcPr>
          <w:p>
            <w:pPr>
              <w:pStyle w:val="From"/>
              <w:spacing w:before="60" w:after="60"/>
              <w:rPr>
                <w:rFonts w:ascii="Arial" w:hAnsi="Arial" w:eastAsia="Arial" w:cs="Arial"/>
              </w:rPr>
            </w:pPr>
            <w:bookmarkStart w:id="1" w:name="From"/>
            <w:bookmarkEnd w:id="1"/>
            <w:r>
              <w:rPr>
                <w:rFonts w:eastAsia="Arial" w:cs="Arial" w:ascii="Arial" w:hAnsi="Arial"/>
              </w:rPr>
              <w:t>Susan Musch</w:t>
            </w:r>
          </w:p>
        </w:tc>
      </w:tr>
      <w:tr>
        <w:trPr/>
        <w:tc>
          <w:tcPr>
            <w:tcW w:w="1188" w:type="dxa"/>
            <w:tcBorders/>
          </w:tcPr>
          <w:p>
            <w:pPr>
              <w:pStyle w:val="Normal"/>
              <w:spacing w:before="60" w:after="60"/>
              <w:rPr>
                <w:rFonts w:ascii="Arial" w:hAnsi="Arial" w:eastAsia="Arial" w:cs="Arial"/>
              </w:rPr>
            </w:pPr>
            <w:r>
              <w:rPr>
                <w:rFonts w:eastAsia="Arial" w:cs="Arial" w:ascii="Arial" w:hAnsi="Arial"/>
                <w:b/>
                <w:bCs/>
              </w:rPr>
              <w:t>Date:</w:t>
            </w:r>
          </w:p>
        </w:tc>
        <w:tc>
          <w:tcPr>
            <w:tcW w:w="7560" w:type="dxa"/>
            <w:tcBorders/>
          </w:tcPr>
          <w:p>
            <w:pPr>
              <w:pStyle w:val="Date"/>
              <w:spacing w:before="60" w:after="60"/>
              <w:rPr>
                <w:rFonts w:ascii="Arial" w:hAnsi="Arial" w:eastAsia="Arial" w:cs="Arial"/>
              </w:rPr>
            </w:pPr>
            <w:r>
              <w:rPr>
                <w:rFonts w:eastAsia="Arial" w:cs="Arial" w:ascii="Arial" w:hAnsi="Arial"/>
              </w:rPr>
              <w:t>September 9, 1999</w:t>
            </w:r>
          </w:p>
        </w:tc>
      </w:tr>
      <w:tr>
        <w:trPr/>
        <w:tc>
          <w:tcPr>
            <w:tcW w:w="1188" w:type="dxa"/>
            <w:tcBorders>
              <w:bottom w:val="single" w:sz="18" w:space="0" w:color="000000"/>
            </w:tcBorders>
          </w:tcPr>
          <w:p>
            <w:pPr>
              <w:pStyle w:val="Normal"/>
              <w:spacing w:before="60" w:after="60"/>
              <w:rPr>
                <w:rFonts w:ascii="Arial" w:hAnsi="Arial" w:eastAsia="Arial" w:cs="Arial"/>
              </w:rPr>
            </w:pPr>
            <w:r>
              <w:rPr>
                <w:rFonts w:eastAsia="Arial" w:cs="Arial" w:ascii="Arial" w:hAnsi="Arial"/>
                <w:b/>
                <w:bCs/>
              </w:rPr>
              <w:t>Subject:</w:t>
            </w:r>
          </w:p>
        </w:tc>
        <w:tc>
          <w:tcPr>
            <w:tcW w:w="7560" w:type="dxa"/>
            <w:tcBorders>
              <w:bottom w:val="single" w:sz="18" w:space="0" w:color="000000"/>
            </w:tcBorders>
          </w:tcPr>
          <w:p>
            <w:pPr>
              <w:pStyle w:val="Subject"/>
              <w:spacing w:before="60" w:after="60"/>
              <w:rPr>
                <w:rFonts w:ascii="Arial" w:hAnsi="Arial" w:eastAsia="Arial" w:cs="Arial"/>
              </w:rPr>
            </w:pPr>
            <w:bookmarkStart w:id="2" w:name="Subject"/>
            <w:bookmarkEnd w:id="2"/>
            <w:r>
              <w:rPr>
                <w:rFonts w:eastAsia="Arial" w:cs="Arial" w:ascii="Arial" w:hAnsi="Arial"/>
              </w:rPr>
              <w:t>Australian Financial Trader Tax Issues</w:t>
            </w:r>
            <w:bookmarkStart w:id="3" w:name="tSubject"/>
            <w:bookmarkEnd w:id="3"/>
          </w:p>
        </w:tc>
      </w:tr>
    </w:tbl>
    <w:p>
      <w:pPr>
        <w:pStyle w:val="Normal"/>
        <w:rPr/>
      </w:pPr>
      <w:bookmarkStart w:id="4" w:name="StartOfMemo"/>
      <w:bookmarkEnd w:id="4"/>
      <w:r>
        <w:rPr>
          <w:rFonts w:eastAsia="Arial" w:cs="Arial" w:ascii="Arial" w:hAnsi="Arial"/>
          <w:b/>
          <w:bCs/>
        </w:rPr>
        <w:t>C:</w:t>
      </w:r>
      <w:r>
        <w:rPr>
          <w:rFonts w:eastAsia="Arial" w:cs="Arial" w:ascii="Arial" w:hAnsi="Arial"/>
        </w:rPr>
        <w:t xml:space="preserve">  David Minns, Colin Jackson, Heidi Mason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This memo is to summarize the tax implications of having a financial trader based in Sydney in Enron Australia Finance Pty Ltd. (“EA Finance”) and how the services that he will provide should be billed to Enron Capital &amp; Trade Resources Corp. and other non-Australian Enron affiliates.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u w:val="single"/>
        </w:rPr>
        <w:t>Background</w:t>
      </w:r>
    </w:p>
    <w:p>
      <w:pPr>
        <w:pStyle w:val="Normal"/>
        <w:rPr>
          <w:rFonts w:ascii="Arial" w:hAnsi="Arial" w:eastAsia="Arial" w:cs="Arial"/>
        </w:rPr>
      </w:pPr>
      <w:r>
        <w:rPr>
          <w:rFonts w:eastAsia="Arial" w:cs="Arial" w:ascii="Arial" w:hAnsi="Arial"/>
        </w:rPr>
        <w:t>You are considering the possibility of having a financial trader of EA Finance in Sydney enter into non-commodity risk management transactions on behalf of wholly-owned non-Australian resident Enron affiliates, such as Enron Capital &amp; Trade Resources Corp., a wholly owned US subsidiary of Enron Corp. These transactions would be transacted in cash.  The purpose of these transactions would be to manage the interest rate, equity, foreign exchange and currency risks of these companies while Enron operations in Houston and London are closed.  (The financial trader could also be entering into risk management activities on behalf of Enron’s Australian entities as well.)  The trader would be entering into risk management transactions with banks and other dealer institutions operating in Australia as well as foreign banks and dealer institutions with no presence in Australia.</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u w:val="single"/>
        </w:rPr>
        <w:t>Australian Tax Issues</w:t>
      </w:r>
    </w:p>
    <w:p>
      <w:pPr>
        <w:pStyle w:val="Normal"/>
        <w:rPr/>
      </w:pPr>
      <w:r>
        <w:rPr>
          <w:rFonts w:eastAsia="Arial" w:cs="Arial" w:ascii="Arial" w:hAnsi="Arial"/>
        </w:rPr>
        <w:tab/>
      </w:r>
      <w:r>
        <w:rPr>
          <w:rFonts w:eastAsia="Arial" w:cs="Arial" w:ascii="Arial" w:hAnsi="Arial"/>
          <w:u w:val="single"/>
        </w:rPr>
        <w:t>In general</w:t>
      </w:r>
    </w:p>
    <w:p>
      <w:pPr>
        <w:pStyle w:val="Normal"/>
        <w:tabs>
          <w:tab w:val="clear" w:pos="720"/>
          <w:tab w:val="left" w:pos="360" w:leader="none"/>
        </w:tabs>
        <w:rPr>
          <w:rFonts w:ascii="Arial" w:hAnsi="Arial" w:eastAsia="Arial" w:cs="Arial"/>
        </w:rPr>
      </w:pPr>
      <w:r>
        <w:rPr>
          <w:rFonts w:eastAsia="Arial" w:cs="Arial" w:ascii="Arial" w:hAnsi="Arial"/>
        </w:rPr>
        <w:t>EA Finance’s activities must be restricted so as to reduce the risk that ECT-Houston or any other non-Australian Enron affiliate (“the hedging party”) is considered to have a permanent establishment in Australia. A permanent establishment in Australia would subject a non-Australian Enron affiliate to Australian taxation at a 36% rate on the Australian activities.</w:t>
      </w:r>
    </w:p>
    <w:p>
      <w:pPr>
        <w:pStyle w:val="Normal"/>
        <w:tabs>
          <w:tab w:val="clear" w:pos="720"/>
          <w:tab w:val="left" w:pos="360" w:leader="none"/>
        </w:tabs>
        <w:rPr>
          <w:rFonts w:ascii="Arial" w:hAnsi="Arial" w:eastAsia="Arial" w:cs="Arial"/>
        </w:rPr>
      </w:pPr>
      <w:r>
        <w:rPr>
          <w:rFonts w:eastAsia="Arial" w:cs="Arial" w:ascii="Arial" w:hAnsi="Arial"/>
        </w:rPr>
      </w:r>
    </w:p>
    <w:p>
      <w:pPr>
        <w:pStyle w:val="Normal"/>
        <w:rPr/>
      </w:pPr>
      <w:r>
        <w:rPr>
          <w:rFonts w:eastAsia="Arial" w:cs="Arial" w:ascii="Arial" w:hAnsi="Arial"/>
        </w:rPr>
        <w:tab/>
      </w:r>
      <w:r>
        <w:rPr>
          <w:rFonts w:eastAsia="Arial" w:cs="Arial" w:ascii="Arial" w:hAnsi="Arial"/>
          <w:u w:val="single"/>
        </w:rPr>
        <w:t>Restrictions</w:t>
      </w:r>
    </w:p>
    <w:p>
      <w:pPr>
        <w:pStyle w:val="Normal"/>
        <w:rPr/>
      </w:pPr>
      <w:r>
        <w:rPr>
          <w:rFonts w:eastAsia="Arial" w:cs="Arial" w:ascii="Arial" w:hAnsi="Arial"/>
        </w:rPr>
        <w:t>EA Finance’s activities must be restricted so that they constitute activities that have a preparatory or auxiliary character.</w:t>
      </w:r>
      <w:r>
        <w:rPr>
          <w:rStyle w:val="FootnoteCharacters"/>
          <w:rStyle w:val="FootnoteReference"/>
          <w:rFonts w:eastAsia="Arial" w:cs="Arial" w:ascii="Arial" w:hAnsi="Arial"/>
        </w:rPr>
        <w:footnoteReference w:id="2"/>
      </w:r>
      <w:r>
        <w:rPr>
          <w:rFonts w:eastAsia="Arial" w:cs="Arial" w:ascii="Arial" w:hAnsi="Arial"/>
        </w:rPr>
        <w:t xml:space="preserve">  The Australian financial trader cannot be the “brains of the organization.” Guidelines and boundaries must be established on what the financial trader can do (e.g. price parameters, product parameters, etc.). Activities cannot include the negotiation of terms of master contracts, forwards and other derivatives with counterparties. If a master contract must be executed in Australia, then it should be executed by an independent agent (such as a lawyer) having a power of attorney from the hedging party. Confirmations should be issued by the hedging party, rather than by EA Finance in Sydney. The Australian tax advisor recommended that the financial trader say:  “My principal will deal with you within these parameters ….”</w:t>
      </w:r>
    </w:p>
    <w:p>
      <w:pPr>
        <w:pStyle w:val="Normal"/>
        <w:rPr>
          <w:rFonts w:ascii="Arial" w:hAnsi="Arial" w:eastAsia="Arial" w:cs="Arial"/>
        </w:rPr>
      </w:pPr>
      <w:r>
        <w:rPr>
          <w:rFonts w:eastAsia="Arial" w:cs="Arial" w:ascii="Arial" w:hAnsi="Arial"/>
        </w:rPr>
      </w:r>
    </w:p>
    <w:p>
      <w:pPr>
        <w:pStyle w:val="Normal"/>
        <w:rPr/>
      </w:pPr>
      <w:r>
        <w:rPr>
          <w:rFonts w:eastAsia="Arial" w:cs="Arial" w:ascii="Arial" w:hAnsi="Arial"/>
        </w:rPr>
        <w:tab/>
      </w:r>
      <w:r>
        <w:rPr>
          <w:rFonts w:eastAsia="Arial" w:cs="Arial" w:ascii="Arial" w:hAnsi="Arial"/>
          <w:u w:val="single"/>
        </w:rPr>
        <w:t>Charge for services</w:t>
      </w:r>
    </w:p>
    <w:p>
      <w:pPr>
        <w:pStyle w:val="Normal"/>
        <w:rPr/>
      </w:pPr>
      <w:r>
        <w:rPr>
          <w:rFonts w:eastAsia="Arial" w:cs="Arial" w:ascii="Arial" w:hAnsi="Arial"/>
        </w:rPr>
        <w:t>Based on the current level of financial trading services to be provided by the Sydney office (i.e. one trader), the service fee can be based on a cost plus mark-up approach, which would be subject to Australian taxation at a 36% rate.</w:t>
      </w:r>
      <w:r>
        <w:rPr>
          <w:rStyle w:val="FootnoteCharacters"/>
          <w:rStyle w:val="FootnoteReference"/>
          <w:rFonts w:eastAsia="Arial" w:cs="Arial" w:ascii="Arial" w:hAnsi="Arial"/>
        </w:rPr>
        <w:footnoteReference w:id="3"/>
      </w:r>
      <w:r>
        <w:rPr>
          <w:rFonts w:eastAsia="Arial" w:cs="Arial" w:ascii="Arial" w:hAnsi="Arial"/>
        </w:rPr>
        <w:t xml:space="preserve">  Cost would include the financial trader’s full remuneration (i.e. salary plus bonus) allocable to these services, other direct costs relating to the financial trading, and a reasonable allocation of rents, overheads, etc. The question then becomes what is the appropriate mark-up for the services.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Australian Tax Office recently issued a ruling which provides a safe harbor whereby a 7.5% mark-up may be used where the aggregate cost of all services provided by all the 100% owned Australian companies (“Australian group companies”) is relatively small. In order to use the de minimis safe harbor, the following requirements must be met:</w:t>
      </w:r>
    </w:p>
    <w:p>
      <w:pPr>
        <w:pStyle w:val="Normal"/>
        <w:rPr>
          <w:rFonts w:ascii="Arial" w:hAnsi="Arial" w:eastAsia="Arial" w:cs="Arial"/>
        </w:rPr>
      </w:pPr>
      <w:r>
        <w:rPr>
          <w:rFonts w:eastAsia="Arial" w:cs="Arial" w:ascii="Arial" w:hAnsi="Arial"/>
        </w:rPr>
      </w:r>
    </w:p>
    <w:p>
      <w:pPr>
        <w:pStyle w:val="Normal"/>
        <w:numPr>
          <w:ilvl w:val="0"/>
          <w:numId w:val="2"/>
        </w:numPr>
        <w:tabs>
          <w:tab w:val="clear" w:pos="720"/>
          <w:tab w:val="left" w:pos="0" w:leader="none"/>
        </w:tabs>
        <w:ind w:hanging="720" w:start="720" w:end="0"/>
        <w:rPr>
          <w:rFonts w:ascii="Arial" w:hAnsi="Arial" w:eastAsia="Arial" w:cs="Arial"/>
        </w:rPr>
      </w:pPr>
      <w:r>
        <w:rPr>
          <w:rFonts w:eastAsia="Arial" w:cs="Arial" w:ascii="Arial" w:hAnsi="Arial"/>
        </w:rPr>
        <w:t>The total indirect and direct costs of providing services by all the Australian group companies are not more than A$500,000 per year;</w:t>
      </w:r>
    </w:p>
    <w:p>
      <w:pPr>
        <w:pStyle w:val="Normal"/>
        <w:numPr>
          <w:ilvl w:val="0"/>
          <w:numId w:val="2"/>
        </w:numPr>
        <w:tabs>
          <w:tab w:val="clear" w:pos="720"/>
          <w:tab w:val="left" w:pos="0" w:leader="none"/>
        </w:tabs>
        <w:ind w:hanging="720" w:start="720" w:end="0"/>
        <w:rPr>
          <w:rFonts w:ascii="Arial" w:hAnsi="Arial" w:eastAsia="Arial" w:cs="Arial"/>
        </w:rPr>
      </w:pPr>
      <w:r>
        <w:rPr>
          <w:rFonts w:eastAsia="Arial" w:cs="Arial" w:ascii="Arial" w:hAnsi="Arial"/>
        </w:rPr>
        <w:t>The company providing the services maintains adequate documentation of the services; and</w:t>
      </w:r>
    </w:p>
    <w:p>
      <w:pPr>
        <w:pStyle w:val="Normal"/>
        <w:numPr>
          <w:ilvl w:val="0"/>
          <w:numId w:val="2"/>
        </w:numPr>
        <w:tabs>
          <w:tab w:val="clear" w:pos="720"/>
          <w:tab w:val="left" w:pos="0" w:leader="none"/>
        </w:tabs>
        <w:ind w:hanging="360" w:start="720" w:end="0"/>
        <w:rPr>
          <w:rFonts w:ascii="Arial" w:hAnsi="Arial" w:eastAsia="Arial" w:cs="Arial"/>
        </w:rPr>
      </w:pPr>
      <w:r>
        <w:rPr>
          <w:rFonts w:eastAsia="Arial" w:cs="Arial" w:ascii="Arial" w:hAnsi="Arial"/>
        </w:rPr>
        <w:t>The amount charged for all services by the Australian group companies is not more than 15% of the total accounting revenues of the Australian group companies for the year.</w:t>
      </w:r>
    </w:p>
    <w:p>
      <w:pPr>
        <w:pStyle w:val="Normal"/>
        <w:rPr>
          <w:rFonts w:ascii="Arial" w:hAnsi="Arial" w:eastAsia="Arial" w:cs="Arial"/>
        </w:rPr>
      </w:pPr>
      <w:r>
        <w:rPr>
          <w:rFonts w:eastAsia="Arial" w:cs="Arial" w:ascii="Arial" w:hAnsi="Arial"/>
        </w:rPr>
      </w:r>
    </w:p>
    <w:p>
      <w:pPr>
        <w:pStyle w:val="Normal"/>
        <w:tabs>
          <w:tab w:val="clear" w:pos="720"/>
          <w:tab w:val="left" w:pos="360" w:leader="none"/>
        </w:tabs>
        <w:rPr>
          <w:rFonts w:ascii="Arial" w:hAnsi="Arial" w:eastAsia="Arial" w:cs="Arial"/>
        </w:rPr>
      </w:pPr>
      <w:r>
        <w:rPr>
          <w:rFonts w:eastAsia="Arial" w:cs="Arial" w:ascii="Arial" w:hAnsi="Arial"/>
        </w:rPr>
        <w:t>As I recall from our meeting on July 29th, we thought that the above requirements could be met.  In that case, the 7.5% mark-up can be used.  If they cannot be met, our Australian tax advisors have recommended using a 10-15% mark-up, with it being closer to 15%.  In any event, this will need to be monitored since the A$500,000 is met on an annual basis.</w:t>
      </w:r>
    </w:p>
    <w:p>
      <w:pPr>
        <w:pStyle w:val="Normal"/>
        <w:tabs>
          <w:tab w:val="clear" w:pos="720"/>
          <w:tab w:val="left" w:pos="360" w:leader="none"/>
        </w:tabs>
        <w:rPr>
          <w:rFonts w:ascii="Arial" w:hAnsi="Arial" w:eastAsia="Arial" w:cs="Arial"/>
        </w:rPr>
      </w:pPr>
      <w:r>
        <w:rPr>
          <w:rFonts w:eastAsia="Arial" w:cs="Arial" w:ascii="Arial" w:hAnsi="Arial"/>
        </w:rPr>
      </w:r>
    </w:p>
    <w:p>
      <w:pPr>
        <w:pStyle w:val="Normal"/>
        <w:tabs>
          <w:tab w:val="left" w:pos="720" w:leader="none"/>
        </w:tabs>
        <w:rPr/>
      </w:pPr>
      <w:r>
        <w:rPr>
          <w:rFonts w:eastAsia="Arial" w:cs="Arial" w:ascii="Arial" w:hAnsi="Arial"/>
        </w:rPr>
        <w:tab/>
      </w:r>
      <w:r>
        <w:rPr>
          <w:rFonts w:eastAsia="Arial" w:cs="Arial" w:ascii="Arial" w:hAnsi="Arial"/>
          <w:u w:val="single"/>
        </w:rPr>
        <w:t>Documentation</w:t>
      </w:r>
    </w:p>
    <w:p>
      <w:pPr>
        <w:pStyle w:val="Normal"/>
        <w:tabs>
          <w:tab w:val="clear" w:pos="720"/>
          <w:tab w:val="left" w:pos="360" w:leader="none"/>
        </w:tabs>
        <w:rPr>
          <w:rFonts w:ascii="Arial" w:hAnsi="Arial" w:eastAsia="Arial" w:cs="Arial"/>
        </w:rPr>
      </w:pPr>
      <w:r>
        <w:rPr>
          <w:rFonts w:eastAsia="Arial" w:cs="Arial" w:ascii="Arial" w:hAnsi="Arial"/>
        </w:rPr>
        <w:t>Documentation should include:</w:t>
      </w:r>
    </w:p>
    <w:p>
      <w:pPr>
        <w:pStyle w:val="Normal"/>
        <w:numPr>
          <w:ilvl w:val="0"/>
          <w:numId w:val="3"/>
        </w:numPr>
        <w:tabs>
          <w:tab w:val="clear" w:pos="720"/>
          <w:tab w:val="left" w:pos="0" w:leader="none"/>
        </w:tabs>
        <w:ind w:hanging="720" w:start="720" w:end="0"/>
        <w:rPr>
          <w:rFonts w:ascii="Arial" w:hAnsi="Arial" w:eastAsia="Arial" w:cs="Arial"/>
        </w:rPr>
      </w:pPr>
      <w:r>
        <w:rPr>
          <w:rFonts w:eastAsia="Arial" w:cs="Arial" w:ascii="Arial" w:hAnsi="Arial"/>
        </w:rPr>
        <w:t>A contractual, written service agreement,</w:t>
      </w:r>
    </w:p>
    <w:p>
      <w:pPr>
        <w:pStyle w:val="Normal"/>
        <w:numPr>
          <w:ilvl w:val="0"/>
          <w:numId w:val="3"/>
        </w:numPr>
        <w:tabs>
          <w:tab w:val="clear" w:pos="720"/>
          <w:tab w:val="left" w:pos="0" w:leader="none"/>
        </w:tabs>
        <w:ind w:hanging="720" w:start="720" w:end="0"/>
        <w:rPr>
          <w:rFonts w:ascii="Arial" w:hAnsi="Arial" w:eastAsia="Arial" w:cs="Arial"/>
        </w:rPr>
      </w:pPr>
      <w:r>
        <w:rPr>
          <w:rFonts w:eastAsia="Arial" w:cs="Arial" w:ascii="Arial" w:hAnsi="Arial"/>
        </w:rPr>
        <w:t xml:space="preserve">Periodical invoices, </w:t>
      </w:r>
    </w:p>
    <w:p>
      <w:pPr>
        <w:pStyle w:val="Normal"/>
        <w:numPr>
          <w:ilvl w:val="0"/>
          <w:numId w:val="3"/>
        </w:numPr>
        <w:tabs>
          <w:tab w:val="clear" w:pos="720"/>
          <w:tab w:val="left" w:pos="0" w:leader="none"/>
        </w:tabs>
        <w:ind w:hanging="720" w:start="720" w:end="0"/>
        <w:rPr>
          <w:rFonts w:ascii="Arial" w:hAnsi="Arial" w:eastAsia="Arial" w:cs="Arial"/>
        </w:rPr>
      </w:pPr>
      <w:r>
        <w:rPr>
          <w:rFonts w:eastAsia="Arial" w:cs="Arial" w:ascii="Arial" w:hAnsi="Arial"/>
        </w:rPr>
        <w:t>A record of services actually provided, and</w:t>
      </w:r>
    </w:p>
    <w:p>
      <w:pPr>
        <w:pStyle w:val="Normal"/>
        <w:numPr>
          <w:ilvl w:val="0"/>
          <w:numId w:val="3"/>
        </w:numPr>
        <w:tabs>
          <w:tab w:val="clear" w:pos="720"/>
          <w:tab w:val="left" w:pos="0" w:leader="none"/>
        </w:tabs>
        <w:ind w:hanging="360" w:start="720" w:end="0"/>
        <w:rPr>
          <w:rFonts w:ascii="Arial" w:hAnsi="Arial" w:eastAsia="Arial" w:cs="Arial"/>
        </w:rPr>
      </w:pPr>
      <w:r>
        <w:rPr>
          <w:rFonts w:eastAsia="Arial" w:cs="Arial" w:ascii="Arial" w:hAnsi="Arial"/>
        </w:rPr>
        <w:t>Some periodical substantiation of the costs underpinning the cost plus charges.</w:t>
      </w:r>
    </w:p>
    <w:p>
      <w:pPr>
        <w:pStyle w:val="Normal"/>
        <w:tabs>
          <w:tab w:val="left" w:pos="720" w:leader="none"/>
        </w:tabs>
        <w:rPr>
          <w:rFonts w:ascii="Arial" w:hAnsi="Arial" w:eastAsia="Arial" w:cs="Arial"/>
        </w:rPr>
      </w:pPr>
      <w:r>
        <w:rPr>
          <w:rFonts w:eastAsia="Arial" w:cs="Arial" w:ascii="Arial" w:hAnsi="Arial"/>
        </w:rPr>
      </w:r>
    </w:p>
    <w:p>
      <w:pPr>
        <w:pStyle w:val="Normal"/>
        <w:tabs>
          <w:tab w:val="left" w:pos="720" w:leader="none"/>
        </w:tabs>
        <w:rPr>
          <w:rFonts w:ascii="Arial" w:hAnsi="Arial" w:eastAsia="Arial" w:cs="Arial"/>
        </w:rPr>
      </w:pPr>
      <w:r>
        <w:rPr>
          <w:rFonts w:eastAsia="Arial" w:cs="Arial" w:ascii="Arial" w:hAnsi="Arial"/>
        </w:rPr>
        <w:tab/>
      </w:r>
      <w:r>
        <w:rPr>
          <w:rFonts w:eastAsia="Arial" w:cs="Arial" w:ascii="Arial" w:hAnsi="Arial"/>
          <w:u w:val="single"/>
        </w:rPr>
        <w:t>Service Agreement</w:t>
      </w:r>
    </w:p>
    <w:p>
      <w:pPr>
        <w:pStyle w:val="Normal"/>
        <w:rPr>
          <w:rFonts w:ascii="Arial" w:hAnsi="Arial" w:eastAsia="Arial" w:cs="Arial"/>
        </w:rPr>
      </w:pPr>
      <w:r>
        <w:rPr>
          <w:rFonts w:eastAsia="Arial" w:cs="Arial" w:ascii="Arial" w:hAnsi="Arial"/>
        </w:rPr>
        <w:t>As we previously discussed, the UK representative agreement can be used as a template for the Australian representative agreement.  However, our Australian tax advisors have recommended the following changes to that agreement:</w:t>
      </w:r>
    </w:p>
    <w:p>
      <w:pPr>
        <w:pStyle w:val="Normal"/>
        <w:rPr>
          <w:rFonts w:ascii="Arial" w:hAnsi="Arial" w:eastAsia="Arial" w:cs="Arial"/>
        </w:rPr>
      </w:pPr>
      <w:r>
        <w:rPr>
          <w:rFonts w:eastAsia="Arial" w:cs="Arial" w:ascii="Arial" w:hAnsi="Arial"/>
        </w:rPr>
      </w:r>
    </w:p>
    <w:p>
      <w:pPr>
        <w:pStyle w:val="Normal"/>
        <w:numPr>
          <w:ilvl w:val="0"/>
          <w:numId w:val="4"/>
        </w:numPr>
        <w:tabs>
          <w:tab w:val="clear" w:pos="720"/>
          <w:tab w:val="left" w:pos="0" w:leader="none"/>
        </w:tabs>
        <w:ind w:hanging="720" w:start="720" w:end="0"/>
        <w:rPr>
          <w:rFonts w:ascii="Arial" w:hAnsi="Arial" w:eastAsia="Arial" w:cs="Arial"/>
        </w:rPr>
      </w:pPr>
      <w:r>
        <w:rPr>
          <w:rFonts w:eastAsia="Arial" w:cs="Arial" w:ascii="Arial" w:hAnsi="Arial"/>
        </w:rPr>
        <w:t>A mark-up will need to be added to the cost reimbursement.</w:t>
      </w:r>
    </w:p>
    <w:p>
      <w:pPr>
        <w:pStyle w:val="Normal"/>
        <w:numPr>
          <w:ilvl w:val="0"/>
          <w:numId w:val="4"/>
        </w:numPr>
        <w:tabs>
          <w:tab w:val="clear" w:pos="720"/>
          <w:tab w:val="left" w:pos="0" w:leader="none"/>
        </w:tabs>
        <w:ind w:hanging="360" w:start="720" w:end="0"/>
        <w:rPr>
          <w:rFonts w:ascii="Arial" w:hAnsi="Arial" w:eastAsia="Arial" w:cs="Arial"/>
        </w:rPr>
      </w:pPr>
      <w:r>
        <w:rPr>
          <w:rFonts w:eastAsia="Arial" w:cs="Arial" w:ascii="Arial" w:hAnsi="Arial"/>
        </w:rPr>
        <w:t>If the financial trader’s activities are to hedge the hedging party’s books for a defined period of time, the first service described in Schedule 1 may not be appropriate as it implies the referral of business opportunities and some kind of marketing role.</w:t>
      </w:r>
    </w:p>
    <w:p>
      <w:pPr>
        <w:pStyle w:val="Normal"/>
        <w:tabs>
          <w:tab w:val="clear" w:pos="720"/>
          <w:tab w:val="left" w:pos="360" w:leader="none"/>
        </w:tabs>
        <w:rPr>
          <w:rFonts w:ascii="Arial" w:hAnsi="Arial" w:eastAsia="Arial" w:cs="Arial"/>
        </w:rPr>
      </w:pPr>
      <w:r>
        <w:rPr>
          <w:rFonts w:eastAsia="Arial" w:cs="Arial" w:ascii="Arial" w:hAnsi="Arial"/>
        </w:rPr>
      </w:r>
    </w:p>
    <w:p>
      <w:pPr>
        <w:pStyle w:val="Normal"/>
        <w:tabs>
          <w:tab w:val="clear" w:pos="720"/>
          <w:tab w:val="left" w:pos="360" w:leader="none"/>
        </w:tabs>
        <w:rPr>
          <w:rFonts w:ascii="Arial" w:hAnsi="Arial" w:eastAsia="Arial" w:cs="Arial"/>
        </w:rPr>
      </w:pPr>
      <w:r>
        <w:rPr>
          <w:rFonts w:eastAsia="Arial" w:cs="Arial" w:ascii="Arial" w:hAnsi="Arial"/>
          <w:u w:val="single"/>
        </w:rPr>
        <w:t>US Tax Issues</w:t>
      </w:r>
    </w:p>
    <w:p>
      <w:pPr>
        <w:pStyle w:val="Normal"/>
        <w:tabs>
          <w:tab w:val="clear" w:pos="720"/>
          <w:tab w:val="left" w:pos="360" w:leader="none"/>
        </w:tabs>
        <w:rPr>
          <w:rFonts w:ascii="Arial" w:hAnsi="Arial" w:eastAsia="Arial" w:cs="Arial"/>
        </w:rPr>
      </w:pPr>
      <w:r>
        <w:rPr>
          <w:rFonts w:eastAsia="Arial" w:cs="Arial" w:ascii="Arial" w:hAnsi="Arial"/>
        </w:rPr>
        <w:tab/>
      </w:r>
      <w:r>
        <w:rPr>
          <w:rFonts w:eastAsia="Arial" w:cs="Arial" w:ascii="Arial" w:hAnsi="Arial"/>
          <w:u w:val="single"/>
        </w:rPr>
        <w:t>Relating to Hedging Parties</w:t>
      </w:r>
    </w:p>
    <w:p>
      <w:pPr>
        <w:pStyle w:val="Normal"/>
        <w:tabs>
          <w:tab w:val="clear" w:pos="720"/>
          <w:tab w:val="left" w:pos="360" w:leader="none"/>
        </w:tabs>
        <w:rPr/>
      </w:pPr>
      <w:r>
        <w:rPr>
          <w:rFonts w:eastAsia="Arial" w:cs="Arial" w:ascii="Arial" w:hAnsi="Arial"/>
        </w:rPr>
        <w:t xml:space="preserve">Because the Sydney financial trader would be entering into trades </w:t>
      </w:r>
      <w:r>
        <w:rPr>
          <w:rFonts w:eastAsia="Arial" w:cs="Arial" w:ascii="Arial" w:hAnsi="Arial"/>
          <w:u w:val="single"/>
        </w:rPr>
        <w:t>on behalf of</w:t>
      </w:r>
      <w:r>
        <w:rPr>
          <w:rFonts w:eastAsia="Arial" w:cs="Arial" w:ascii="Arial" w:hAnsi="Arial"/>
        </w:rPr>
        <w:t xml:space="preserve"> the hedging parties, the hedging parties should be treated as entering into the hedges on their own account, which is one of the requirements for hedge treatment for US tax purposes.</w:t>
      </w:r>
      <w:r>
        <w:rPr>
          <w:rStyle w:val="FootnoteCharacters"/>
          <w:rStyle w:val="FootnoteReference"/>
          <w:rFonts w:eastAsia="Arial" w:cs="Arial" w:ascii="Arial" w:hAnsi="Arial"/>
        </w:rPr>
        <w:footnoteReference w:id="4"/>
      </w:r>
      <w:r>
        <w:rPr>
          <w:rFonts w:eastAsia="Arial" w:cs="Arial" w:ascii="Arial" w:hAnsi="Arial"/>
        </w:rPr>
        <w:t xml:space="preserve">  (This analysis assumes that the hedging parties will record the transactions on their books since they will be entering into the financial trading transactions through the services of the Sydney financial trader.)</w:t>
      </w:r>
    </w:p>
    <w:p>
      <w:pPr>
        <w:pStyle w:val="Normal"/>
        <w:tabs>
          <w:tab w:val="clear" w:pos="720"/>
          <w:tab w:val="left" w:pos="360" w:leader="none"/>
        </w:tabs>
        <w:rPr>
          <w:rFonts w:ascii="Arial" w:hAnsi="Arial" w:eastAsia="Arial" w:cs="Arial"/>
        </w:rPr>
      </w:pPr>
      <w:r>
        <w:rPr>
          <w:rFonts w:eastAsia="Arial" w:cs="Arial" w:ascii="Arial" w:hAnsi="Arial"/>
        </w:rPr>
      </w:r>
    </w:p>
    <w:p>
      <w:pPr>
        <w:pStyle w:val="Normal"/>
        <w:tabs>
          <w:tab w:val="clear" w:pos="720"/>
          <w:tab w:val="left" w:pos="360" w:leader="none"/>
        </w:tabs>
        <w:rPr/>
      </w:pPr>
      <w:r>
        <w:rPr>
          <w:rFonts w:eastAsia="Arial" w:cs="Arial" w:ascii="Arial" w:hAnsi="Arial"/>
        </w:rPr>
        <w:tab/>
      </w:r>
      <w:r>
        <w:rPr>
          <w:rFonts w:eastAsia="Arial" w:cs="Arial" w:ascii="Arial" w:hAnsi="Arial"/>
          <w:u w:val="single"/>
        </w:rPr>
        <w:t>Relating to Enron Australia Finance Pty Ltd</w:t>
      </w:r>
    </w:p>
    <w:p>
      <w:pPr>
        <w:pStyle w:val="Normal"/>
        <w:tabs>
          <w:tab w:val="clear" w:pos="720"/>
          <w:tab w:val="left" w:pos="360" w:leader="none"/>
        </w:tabs>
        <w:rPr/>
      </w:pPr>
      <w:r>
        <w:rPr>
          <w:rFonts w:eastAsia="Arial" w:cs="Arial" w:ascii="Arial" w:hAnsi="Arial"/>
        </w:rPr>
        <w:t xml:space="preserve">The service fee that EA Finance would receive as a result of entering into the financial trades for the hedging parties would be subject to immediate US taxation at a 37% rate (in addition to Australian taxation at a 36% rate) unless the de minimis exception is met. </w:t>
      </w:r>
      <w:r>
        <w:rPr>
          <w:rFonts w:eastAsia="Helv" w:cs="Helv" w:ascii="Helv" w:hAnsi="Helv"/>
          <w:color w:val="000000"/>
        </w:rPr>
        <w:t xml:space="preserve">Under this exception, the sum of the service income and any other immediate US taxable income that EA Finance would recognize during the taxable year must be </w:t>
      </w:r>
      <w:r>
        <w:rPr>
          <w:rFonts w:eastAsia="Helv" w:cs="Helv" w:ascii="Helv" w:hAnsi="Helv"/>
          <w:color w:val="000000"/>
          <w:u w:val="single"/>
        </w:rPr>
        <w:t>less than</w:t>
      </w:r>
      <w:r>
        <w:rPr>
          <w:rFonts w:eastAsia="Helv" w:cs="Helv" w:ascii="Helv" w:hAnsi="Helv"/>
          <w:color w:val="000000"/>
        </w:rPr>
        <w:t xml:space="preserve"> the lesser of (a) 5% of its gross income for US tax purposes, or (b) US$ 1 MM.</w:t>
      </w:r>
      <w:r>
        <w:rPr>
          <w:rStyle w:val="FootnoteCharacters"/>
          <w:rStyle w:val="FootnoteReference"/>
          <w:rFonts w:eastAsia="Helv" w:cs="Helv" w:ascii="Helv" w:hAnsi="Helv"/>
          <w:color w:val="000000"/>
        </w:rPr>
        <w:footnoteReference w:id="5"/>
      </w:r>
      <w:r>
        <w:rPr>
          <w:rFonts w:eastAsia="Helv" w:cs="Helv" w:ascii="Helv" w:hAnsi="Helv"/>
          <w:color w:val="000000"/>
        </w:rPr>
        <w:t xml:space="preserve">  For example, if EA Finance is considered to generate interest income for US tax purposes from some of the other financial trades that it enters into during the year, then the aggregate amount of the interest income and service fee income would have to be considered in determining whether the de minimis exception would be met for the taxable year.</w:t>
      </w:r>
    </w:p>
    <w:p>
      <w:pPr>
        <w:pStyle w:val="Normal"/>
        <w:tabs>
          <w:tab w:val="clear" w:pos="720"/>
          <w:tab w:val="left" w:pos="360" w:leader="none"/>
        </w:tabs>
        <w:rPr>
          <w:rFonts w:ascii="Helv" w:hAnsi="Helv" w:eastAsia="Helv" w:cs="Helv"/>
          <w:color w:val="000000"/>
        </w:rPr>
      </w:pPr>
      <w:r>
        <w:rPr>
          <w:rFonts w:eastAsia="Helv" w:cs="Helv" w:ascii="Helv" w:hAnsi="Helv"/>
          <w:color w:val="000000"/>
        </w:rPr>
      </w:r>
    </w:p>
    <w:p>
      <w:pPr>
        <w:pStyle w:val="Normal"/>
        <w:tabs>
          <w:tab w:val="clear" w:pos="720"/>
          <w:tab w:val="left" w:pos="360" w:leader="none"/>
        </w:tabs>
        <w:rPr>
          <w:rFonts w:ascii="Arial" w:hAnsi="Arial" w:eastAsia="Arial" w:cs="Arial"/>
        </w:rPr>
      </w:pPr>
      <w:r>
        <w:rPr>
          <w:rFonts w:eastAsia="Helv" w:cs="Helv" w:ascii="Helv" w:hAnsi="Helv"/>
          <w:color w:val="000000"/>
        </w:rPr>
        <w:t>Obviously, because of the immediate US taxation of the service fee (assuming the de minimis exception cannot be met), it would be more tax efficient if we could use the 7.5% mark-up under the Australian tax safe harbor rather than the 10-15% mark-up.  However, as discussed above, we will need to confirm whether the safe harbor requirements can be met.</w:t>
      </w:r>
    </w:p>
    <w:p>
      <w:pPr>
        <w:pStyle w:val="Normal"/>
        <w:tabs>
          <w:tab w:val="clear" w:pos="720"/>
          <w:tab w:val="left" w:pos="360" w:leader="none"/>
        </w:tabs>
        <w:rPr>
          <w:rFonts w:ascii="Arial" w:hAnsi="Arial" w:eastAsia="Arial" w:cs="Arial"/>
        </w:rPr>
      </w:pPr>
      <w:r>
        <w:rPr>
          <w:rFonts w:eastAsia="Arial" w:cs="Arial" w:ascii="Arial" w:hAnsi="Arial"/>
        </w:rPr>
      </w:r>
    </w:p>
    <w:p>
      <w:pPr>
        <w:pStyle w:val="Normal"/>
        <w:tabs>
          <w:tab w:val="left" w:pos="720" w:leader="none"/>
        </w:tabs>
        <w:rPr>
          <w:rFonts w:ascii="Arial" w:hAnsi="Arial" w:eastAsia="Arial" w:cs="Arial"/>
        </w:rPr>
      </w:pPr>
      <w:r>
        <w:rPr>
          <w:rFonts w:eastAsia="Arial" w:cs="Arial" w:ascii="Arial" w:hAnsi="Arial"/>
        </w:rPr>
        <w:t>Please let me know if you have any questions or need any additional information.</w:t>
      </w:r>
    </w:p>
    <w:p>
      <w:pPr>
        <w:pStyle w:val="Normal"/>
        <w:tabs>
          <w:tab w:val="left" w:pos="720" w:leader="none"/>
        </w:tabs>
        <w:rPr>
          <w:rFonts w:ascii="Arial" w:hAnsi="Arial" w:eastAsia="Arial" w:cs="Arial"/>
        </w:rPr>
      </w:pPr>
      <w:r>
        <w:rPr>
          <w:rFonts w:eastAsia="Arial" w:cs="Arial" w:ascii="Arial" w:hAnsi="Arial"/>
        </w:rPr>
      </w:r>
    </w:p>
    <w:p>
      <w:pPr>
        <w:pStyle w:val="Normal"/>
        <w:tabs>
          <w:tab w:val="left" w:pos="720" w:leader="none"/>
        </w:tabs>
        <w:spacing w:before="60" w:after="60"/>
        <w:rPr/>
      </w:pPr>
      <w:r>
        <w:rPr>
          <w:rFonts w:eastAsia="Arial" w:cs="Arial" w:ascii="Arial" w:hAnsi="Arial"/>
          <w:sz w:val="16"/>
          <w:szCs w:val="16"/>
        </w:rPr>
        <w:t xml:space="preserve">File:  </w:t>
      </w:r>
      <w:r>
        <w:rPr>
          <w:rFonts w:eastAsia="Arial" w:cs="Arial" w:ascii="Arial" w:hAnsi="Arial"/>
          <w:sz w:val="16"/>
          <w:szCs w:val="16"/>
        </w:rPr>
        <w:fldChar w:fldCharType="begin"/>
      </w:r>
      <w:r>
        <w:rPr>
          <w:sz w:val="16"/>
          <w:szCs w:val="16"/>
          <w:rFonts w:eastAsia="Arial" w:cs="Arial" w:ascii="Arial" w:hAnsi="Arial"/>
        </w:rPr>
        <w:instrText xml:space="preserve"> FILENAME </w:instrText>
      </w:r>
      <w:r>
        <w:rPr>
          <w:sz w:val="16"/>
          <w:szCs w:val="16"/>
          <w:rFonts w:eastAsia="Arial" w:cs="Arial" w:ascii="Arial" w:hAnsi="Arial"/>
        </w:rPr>
        <w:fldChar w:fldCharType="separate"/>
      </w:r>
      <w:r>
        <w:rPr>
          <w:sz w:val="16"/>
          <w:szCs w:val="16"/>
          <w:rFonts w:eastAsia="Arial" w:cs="Arial" w:ascii="Arial" w:hAnsi="Arial"/>
        </w:rPr>
        <w:t>aus_fin_trad_memo_9_9_99.doc</w:t>
      </w:r>
      <w:r>
        <w:rPr>
          <w:sz w:val="16"/>
          <w:szCs w:val="16"/>
          <w:rFonts w:eastAsia="Arial" w:cs="Arial" w:ascii="Arial" w:hAnsi="Arial"/>
        </w:rPr>
        <w:fldChar w:fldCharType="end"/>
      </w:r>
    </w:p>
    <w:sectPr>
      <w:headerReference w:type="default" r:id="rId6"/>
      <w:headerReference w:type="first" r:id="rId7"/>
      <w:footnotePr>
        <w:numFmt w:val="decimal"/>
      </w:footnotePr>
      <w:type w:val="nextPage"/>
      <w:pgSz w:w="12240" w:h="15840"/>
      <w:pgMar w:left="1800" w:right="1800" w:gutter="0" w:header="720" w:top="1080" w:footer="0" w:bottom="108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ahoma">
    <w:charset w:val="01"/>
    <w:family w:val="swiss"/>
    <w:pitch w:val="variable"/>
  </w:font>
  <w:font w:name="Arial">
    <w:charset w:val="01"/>
    <w:family w:val="swiss"/>
    <w:pitch w:val="variable"/>
  </w:font>
  <w:font w:name="Helv">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60" w:after="60"/>
        <w:ind w:hanging="0" w:start="0" w:end="0"/>
        <w:rPr/>
      </w:pPr>
      <w:r>
        <w:rPr>
          <w:rStyle w:val="FootnoteCharacters"/>
        </w:rPr>
        <w:footnoteRef/>
      </w:r>
      <w:r>
        <w:rPr/>
        <w:t xml:space="preserve"> </w:t>
      </w:r>
      <w:r>
        <w:rPr>
          <w:rFonts w:eastAsia="Arial" w:cs="Arial" w:ascii="Arial" w:hAnsi="Arial"/>
        </w:rPr>
        <w:t>This discussion focuses on the rules under the US/Australia tax treaty.  Although this discussion should generally apply to all the tax treaties that Australia has entered into, we would need to confirm that these provisions apply to the other non-Australian/non-US Enron affiliates that would be hedging parties.</w:t>
      </w:r>
    </w:p>
  </w:footnote>
  <w:footnote w:id="3">
    <w:p>
      <w:pPr>
        <w:pStyle w:val="FootnoteText"/>
        <w:spacing w:before="60" w:after="60"/>
        <w:ind w:hanging="0" w:start="0" w:end="0"/>
        <w:rPr/>
      </w:pPr>
      <w:r>
        <w:rPr>
          <w:rStyle w:val="FootnoteCharacters"/>
        </w:rPr>
        <w:footnoteRef/>
      </w:r>
      <w:r>
        <w:rPr/>
        <w:t xml:space="preserve"> </w:t>
      </w:r>
      <w:r>
        <w:rPr>
          <w:rFonts w:eastAsia="Arial" w:cs="Arial" w:ascii="Arial" w:hAnsi="Arial"/>
        </w:rPr>
        <w:t>Note that if the financial trading services grow in either complexity or size of the transactions, we would need to consider whether another pricing methodology (such as a commission or profit splitting methodology) would be more appropriate.</w:t>
      </w:r>
    </w:p>
  </w:footnote>
  <w:footnote w:id="4">
    <w:p>
      <w:pPr>
        <w:pStyle w:val="FootnoteText"/>
        <w:spacing w:before="60" w:after="60"/>
        <w:ind w:hanging="0" w:start="0" w:end="0"/>
        <w:rPr/>
      </w:pPr>
      <w:r>
        <w:rPr>
          <w:rStyle w:val="FootnoteCharacters"/>
        </w:rPr>
        <w:footnoteRef/>
      </w:r>
      <w:r>
        <w:rPr/>
        <w:t xml:space="preserve"> </w:t>
      </w:r>
      <w:r>
        <w:rPr>
          <w:rFonts w:eastAsia="Arial" w:cs="Arial" w:ascii="Arial" w:hAnsi="Arial"/>
        </w:rPr>
        <w:t>Other requirements, including certain documentation requirements, must also be met.  However, these are beyond the scope of this memo.</w:t>
      </w:r>
    </w:p>
  </w:footnote>
  <w:footnote w:id="5">
    <w:p>
      <w:pPr>
        <w:pStyle w:val="FootnoteText"/>
        <w:spacing w:before="60" w:after="60"/>
        <w:ind w:hanging="360" w:start="360" w:end="0"/>
        <w:rPr/>
      </w:pPr>
      <w:r>
        <w:rPr>
          <w:rStyle w:val="FootnoteCharacters"/>
        </w:rPr>
        <w:footnoteRef/>
      </w:r>
      <w:r>
        <w:rPr/>
        <w:t xml:space="preserve"> </w:t>
      </w:r>
      <w:r>
        <w:rPr>
          <w:rFonts w:eastAsia="Helv" w:cs="Helv" w:ascii="Helv" w:hAnsi="Helv"/>
          <w:color w:val="000000"/>
        </w:rPr>
        <w:t>Note that for US tax purposes, EA Finance recognizes income on an accrual basis.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September 9, 1999</w:t>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bCs/>
      <w:sz w:val="24"/>
      <w:szCs w:val="24"/>
    </w:rPr>
  </w:style>
  <w:style w:type="paragraph" w:styleId="Heading2">
    <w:name w:val="heading 2"/>
    <w:basedOn w:val="Heading1"/>
    <w:next w:val="Normal"/>
    <w:qFormat/>
    <w:pPr>
      <w:numPr>
        <w:ilvl w:val="1"/>
        <w:numId w:val="1"/>
      </w:numPr>
      <w:spacing w:before="120" w:after="0"/>
      <w:outlineLvl w:val="1"/>
    </w:pPr>
    <w:rPr>
      <w:sz w:val="22"/>
      <w:szCs w:val="22"/>
    </w:rPr>
  </w:style>
  <w:style w:type="paragraph" w:styleId="Heading3">
    <w:name w:val="heading 3"/>
    <w:basedOn w:val="Heading2"/>
    <w:next w:val="Normal"/>
    <w:qFormat/>
    <w:pPr>
      <w:numPr>
        <w:ilvl w:val="2"/>
        <w:numId w:val="1"/>
      </w:numPr>
      <w:outlineLvl w:val="2"/>
    </w:pPr>
    <w:rPr>
      <w:sz w:val="20"/>
      <w:szCs w:val="20"/>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1999-09-09T17:27:00Z</dcterms:created>
  <dc:creator>EDC</dc:creator>
  <dc:description/>
  <dc:language>en-CA</dc:language>
  <cp:lastModifiedBy>smusch</cp:lastModifiedBy>
  <cp:lastPrinted>1999-09-15T16:29:00Z</cp:lastPrinted>
  <dcterms:modified xsi:type="dcterms:W3CDTF">1999-09-15T19:21:00Z</dcterms:modified>
  <cp:revision>11</cp:revision>
  <dc:subject>Australian Financial Trader Tax Issues</dc:subject>
  <dc:title>Enron International Memo</dc:title>
</cp:coreProperties>
</file>