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jc w:val="center"/>
        <w:rPr>
          <w:b/>
          <w:i/>
          <w:i/>
          <w:color w:val="000000"/>
          <w:sz w:val="26"/>
        </w:rPr>
      </w:pPr>
      <w:r>
        <w:rPr>
          <w:b/>
          <w:i/>
          <w:color w:val="000000"/>
          <w:sz w:val="26"/>
        </w:rPr>
      </w:r>
    </w:p>
    <w:p>
      <w:pPr>
        <w:sectPr>
          <w:footerReference w:type="default" r:id="rId2"/>
          <w:type w:val="nextPage"/>
          <w:pgSz w:w="12240" w:h="15840"/>
          <w:pgMar w:left="847" w:right="900" w:gutter="0" w:header="0" w:top="360" w:footer="270" w:bottom="32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jc w:val="center"/>
        <w:rPr>
          <w:b/>
          <w:i/>
          <w:i/>
          <w:color w:val="000000"/>
          <w:sz w:val="26"/>
        </w:rPr>
      </w:pPr>
      <w:r>
        <w:rPr>
          <w:b/>
          <w:i/>
          <w:color w:val="000000"/>
          <w:sz w:val="26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jc w:val="center"/>
        <w:rPr>
          <w:b/>
          <w:i/>
          <w:i/>
          <w:color w:val="000000"/>
          <w:sz w:val="26"/>
        </w:rPr>
      </w:pPr>
      <w:r>
        <w:rPr>
          <w:b/>
          <w:i/>
          <w:color w:val="000000"/>
          <w:sz w:val="26"/>
        </w:rPr>
      </w:r>
    </w:p>
    <w:p>
      <w:pPr>
        <w:pStyle w:val="Heading2"/>
        <w:rPr>
          <w:i/>
          <w:i/>
          <w:sz w:val="26"/>
        </w:rPr>
      </w:pPr>
      <w:r>
        <w:rPr>
          <w:i/>
          <w:sz w:val="26"/>
        </w:rPr>
        <w:t>INTRODUCTION TO THE ELECTRIC POWER INDUSTRY</w:t>
      </w:r>
    </w:p>
    <w:p>
      <w:pPr>
        <w:pStyle w:val="Heading2"/>
        <w:rPr/>
      </w:pPr>
      <w:r>
        <w:rPr/>
        <w:t xml:space="preserve">Enron Gas Pipeline Group Presentation 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August 25, 2000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Doubletree Hotel, Houston TX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Granger A &amp; B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>8 AM – 5 PM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b/>
          <w:sz w:val="22"/>
          <w:u w:val="single"/>
        </w:rPr>
      </w:pPr>
      <w:r>
        <w:rPr>
          <w:b/>
          <w:sz w:val="22"/>
          <w:u w:val="single"/>
        </w:rPr>
        <w:t>8:00 AM to 8:15 AM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color w:val="000000"/>
        </w:rPr>
      </w:pPr>
      <w:r>
        <w:rPr/>
        <w:t>Welcome &amp; Introduction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hanging="720" w:start="720" w:end="0"/>
        <w:rPr>
          <w:b/>
          <w:sz w:val="22"/>
          <w:u w:val="single"/>
        </w:rPr>
      </w:pPr>
      <w:r>
        <w:rPr>
          <w:b/>
          <w:sz w:val="22"/>
          <w:u w:val="single"/>
        </w:rPr>
        <w:t>8:15 AM to 10:15AM</w:t>
      </w:r>
    </w:p>
    <w:p>
      <w:pPr>
        <w:pStyle w:val="Normal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spacing w:lineRule="auto" w:line="120"/>
        <w:ind w:hanging="720" w:start="720" w:end="0"/>
        <w:rPr>
          <w:b/>
          <w:color w:val="000000"/>
          <w:sz w:val="22"/>
          <w:u w:val="single"/>
        </w:rPr>
      </w:pPr>
      <w:r>
        <w:rPr>
          <w:b/>
          <w:color w:val="000000"/>
          <w:sz w:val="22"/>
          <w:u w:val="single"/>
        </w:rPr>
      </w:r>
    </w:p>
    <w:p>
      <w:pPr>
        <w:pStyle w:val="Normal"/>
        <w:ind w:hanging="5040" w:start="5040" w:end="0"/>
        <w:rPr>
          <w:sz w:val="24"/>
        </w:rPr>
      </w:pPr>
      <w:r>
        <w:rPr>
          <w:lang w:val="en-CA"/>
        </w:rPr>
      </w:r>
      <w:r>
        <w:rPr>
          <w:b/>
          <w:sz w:val="22"/>
        </w:rPr>
        <w:t xml:space="preserve">I.  Properties of Electricity &amp; Industry Structure </w:t>
        <w:tab/>
        <w:t xml:space="preserve">                                                          </w:t>
      </w:r>
      <w:r>
        <w:rPr>
          <w:b/>
          <w:sz w:val="22"/>
          <w:u w:val="single"/>
        </w:rPr>
        <w:t>PAGE #</w:t>
      </w:r>
    </w:p>
    <w:p>
      <w:pPr>
        <w:sectPr>
          <w:type w:val="continuous"/>
          <w:pgSz w:w="12240" w:h="15840"/>
          <w:pgMar w:left="1440" w:right="990" w:gutter="0" w:header="0" w:top="360" w:footer="270" w:bottom="326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The difference between power &amp; electrical energy</w:t>
        <w:tab/>
        <w:t>1-2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Volts, amperes &amp; watts-hours</w:t>
        <w:tab/>
        <w:t>1-3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AC versus DC electric current</w:t>
        <w:tab/>
        <w:t>1-6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How electricity moves: Kirchoff’s Law</w:t>
        <w:tab/>
        <w:t>1-7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Parallel &amp; Looping Flows</w:t>
        <w:tab/>
        <w:t>1-8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Apparent power, real power &amp; VARs</w:t>
        <w:tab/>
        <w:t>1-9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The structure of the electric service system</w:t>
        <w:tab/>
        <w:t>1-10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IOUs, Municipals, NUGs, rurals, power agencies, IPPs &amp; other players</w:t>
        <w:tab/>
        <w:t>1-13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PURPA and The Energy Policy Act of 1992</w:t>
        <w:tab/>
        <w:t>1-22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Highlights of FERC Orders 888 &amp; 889</w:t>
        <w:tab/>
        <w:t>1-25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Industry associations</w:t>
        <w:tab/>
        <w:t>1-28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North American Electric Reliability Councils (NERC)</w:t>
        <w:tab/>
        <w:t>1-31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The four “Synchronistic Regions”, “Interconnects” or “Grids”</w:t>
        <w:tab/>
        <w:t>1-34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Why Texas is an electrical island</w:t>
        <w:tab/>
        <w:t>*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Tight and loose power pools</w:t>
        <w:tab/>
        <w:t>1-36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Nuclear &amp; hydroelectric generation/“Pumped Storage”</w:t>
        <w:tab/>
        <w:t>1-39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Coal-fired steam boilers</w:t>
        <w:tab/>
        <w:t>1-41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Gas turbines &amp; gas-fired combined cycle units</w:t>
        <w:tab/>
        <w:t>1-43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Baseload, intermediate &amp; peaking units: Use and relative cost</w:t>
        <w:tab/>
        <w:t>1-45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Heat rates, System Lambda, Economic Dispatch and the EMS system</w:t>
        <w:tab/>
        <w:t>1-48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EHV lines, VAR transmission &amp; shrinkage</w:t>
        <w:tab/>
        <w:t>1-52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Control areas, spinning reserve and non-spinning reserve</w:t>
        <w:tab/>
        <w:t>1-57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Area Control Error (ACE)</w:t>
        <w:tab/>
        <w:t>1-63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 xml:space="preserve">Load pockets &amp; TDUs </w:t>
        <w:tab/>
        <w:t>1-66</w:t>
      </w:r>
    </w:p>
    <w:p>
      <w:pPr>
        <w:pStyle w:val="Normal"/>
        <w:tabs>
          <w:tab w:val="clear" w:pos="720"/>
          <w:tab w:val="left" w:pos="5700" w:leader="none"/>
        </w:tabs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54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</w:tabs>
        <w:ind w:start="540" w:end="0"/>
        <w:rPr>
          <w:b/>
          <w:sz w:val="22"/>
          <w:u w:val="single"/>
        </w:rPr>
      </w:pPr>
      <w:r>
        <w:rPr>
          <w:b/>
          <w:sz w:val="22"/>
          <w:u w:val="single"/>
        </w:rPr>
        <w:t>10:15 AM to 11:30 AM</w:t>
      </w:r>
    </w:p>
    <w:p>
      <w:pPr>
        <w:pStyle w:val="Normal"/>
        <w:tabs>
          <w:tab w:val="clear" w:pos="720"/>
          <w:tab w:val="left" w:pos="5700" w:leader="none"/>
        </w:tabs>
        <w:rPr>
          <w:sz w:val="21"/>
        </w:rPr>
      </w:pPr>
      <w:r>
        <w:rPr>
          <w:sz w:val="21"/>
        </w:rPr>
        <w:tab/>
      </w:r>
    </w:p>
    <w:p>
      <w:pPr>
        <w:pStyle w:val="Heading3"/>
        <w:ind w:hanging="0" w:start="0"/>
        <w:rPr/>
      </w:pPr>
      <w:r>
        <w:rPr/>
        <w:t xml:space="preserve">        </w:t>
      </w:r>
      <w:r>
        <w:rPr/>
        <w:t xml:space="preserve">II. Open Access Markets </w:t>
      </w:r>
    </w:p>
    <w:p>
      <w:pPr>
        <w:pStyle w:val="Normal"/>
        <w:tabs>
          <w:tab w:val="clear" w:pos="720"/>
          <w:tab w:val="right" w:pos="9360" w:leader="dot"/>
        </w:tabs>
        <w:ind w:start="720" w:end="0"/>
        <w:rPr/>
      </w:pPr>
      <w:r>
        <w:rPr/>
        <w:t>Retail Wheeling</w:t>
        <w:tab/>
        <w:t>1-67</w:t>
      </w:r>
    </w:p>
    <w:p>
      <w:pPr>
        <w:pStyle w:val="Normal"/>
        <w:tabs>
          <w:tab w:val="clear" w:pos="720"/>
          <w:tab w:val="right" w:pos="9360" w:leader="dot"/>
        </w:tabs>
        <w:ind w:start="720" w:end="0"/>
        <w:rPr/>
      </w:pPr>
      <w:r>
        <w:rPr/>
        <w:t xml:space="preserve">Independent System Operators (ISOs), Transcos &amp; RTOs </w:t>
        <w:tab/>
        <w:t>1-69</w:t>
      </w:r>
    </w:p>
    <w:p>
      <w:pPr>
        <w:pStyle w:val="Normal"/>
        <w:tabs>
          <w:tab w:val="left" w:pos="720" w:leader="none"/>
          <w:tab w:val="right" w:pos="9360" w:leader="dot"/>
        </w:tabs>
        <w:rPr>
          <w:b/>
        </w:rPr>
      </w:pPr>
      <w:r>
        <w:rPr/>
        <w:tab/>
        <w:t>OASIS</w:t>
        <w:tab/>
        <w:t>1-81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>
          <w:b/>
        </w:rPr>
        <w:tab/>
      </w:r>
      <w:r>
        <w:rPr/>
        <w:t>Poolco Vs. Bilateral Markets</w:t>
        <w:tab/>
        <w:t>1-83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The Contract Path method for transmitting electricity</w:t>
        <w:tab/>
        <w:t>1-88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Point-to-point versus Network Transmission Service</w:t>
        <w:tab/>
        <w:t>1-91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 xml:space="preserve">Understanding ATC, TTC, TRM &amp; CBM </w:t>
        <w:tab/>
        <w:t>Handout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“TLR  Procedures”</w:t>
        <w:tab/>
        <w:t>1-98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Locational Marginal Pricing (“LMP”)</w:t>
        <w:tab/>
        <w:t>1-108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Power Marketers, Brokers &amp; Power Exchanges</w:t>
        <w:tab/>
        <w:t>1-110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>
          <w:b/>
          <w:sz w:val="22"/>
        </w:rPr>
        <w:t xml:space="preserve">      </w:t>
      </w:r>
      <w:r>
        <w:rPr>
          <w:b/>
          <w:sz w:val="22"/>
          <w:u w:val="single"/>
        </w:rPr>
        <w:t>11:30 AM to 11:45 AM</w:t>
      </w:r>
    </w:p>
    <w:p>
      <w:pPr>
        <w:pStyle w:val="Normal"/>
        <w:tabs>
          <w:tab w:val="left" w:pos="720" w:leader="none"/>
          <w:tab w:val="right" w:pos="9360" w:leader="dot"/>
        </w:tabs>
        <w:spacing w:lineRule="auto" w:line="120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</w:rPr>
      </w:pPr>
      <w:r>
        <w:rPr>
          <w:b/>
          <w:sz w:val="22"/>
        </w:rPr>
        <w:t xml:space="preserve">    </w:t>
      </w:r>
      <w:r>
        <w:rPr>
          <w:b/>
          <w:sz w:val="22"/>
        </w:rPr>
        <w:tab/>
        <w:t>LUNCH SERVED</w:t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11:45-12:45 (WORKING LUNCH)</w:t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</w:rPr>
      </w:pPr>
      <w:r>
        <w:rPr>
          <w:b/>
          <w:sz w:val="22"/>
        </w:rPr>
        <w:t>III.  Overview of Current Market Structures</w:t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  <w:u w:val="single"/>
        </w:rPr>
      </w:pPr>
      <w:r>
        <w:rPr>
          <w:b/>
          <w:sz w:val="22"/>
          <w:u w:val="single"/>
        </w:rPr>
        <w:t>12:45 PM to 2:00 PM</w:t>
      </w:r>
    </w:p>
    <w:p>
      <w:pPr>
        <w:pStyle w:val="Normal"/>
        <w:tabs>
          <w:tab w:val="clear" w:pos="720"/>
          <w:tab w:val="left" w:pos="0" w:leader="none"/>
        </w:tabs>
        <w:spacing w:lineRule="auto" w:line="120"/>
        <w:rPr>
          <w:b/>
          <w:sz w:val="22"/>
        </w:rPr>
      </w:pPr>
      <w:r>
        <w:rPr>
          <w:b/>
          <w:sz w:val="22"/>
        </w:rPr>
        <w:t xml:space="preserve">     </w:t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4"/>
        </w:rPr>
      </w:pPr>
      <w:r>
        <w:rPr>
          <w:b/>
          <w:sz w:val="22"/>
        </w:rPr>
        <w:t>IV.  Overview of Bulk Power Trading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>
          <w:b/>
        </w:rPr>
        <w:tab/>
      </w:r>
      <w:r>
        <w:rPr/>
        <w:t>Financial &amp; legal responsibility</w:t>
        <w:tab/>
        <w:t>1-119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Gas versus electricity trading: Similarities</w:t>
        <w:tab/>
        <w:t>1-120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Gas versus electricity trading: Differences</w:t>
        <w:tab/>
        <w:t>1-121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Power trading units: MWs versus MWhs</w:t>
        <w:tab/>
        <w:t>1-129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On-peak and round-the-clock transactions</w:t>
        <w:tab/>
        <w:t>1-130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Common contractual terms and transaction sizes</w:t>
        <w:tab/>
        <w:t>1-131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Defining the different trading periods: Multiple Spot Markets</w:t>
        <w:tab/>
        <w:t>1-132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Common trading locations</w:t>
        <w:tab/>
        <w:t>1-135</w:t>
      </w:r>
    </w:p>
    <w:p>
      <w:pPr>
        <w:pStyle w:val="Normal"/>
        <w:tabs>
          <w:tab w:val="clear" w:pos="720"/>
          <w:tab w:val="right" w:pos="9360" w:leader="dot"/>
        </w:tabs>
        <w:ind w:start="720" w:end="0"/>
        <w:rPr/>
      </w:pPr>
      <w:r>
        <w:rPr/>
        <w:t>The “Seller’s Choice” method of trading power</w:t>
        <w:tab/>
        <w:t>1-136</w:t>
      </w:r>
    </w:p>
    <w:p>
      <w:pPr>
        <w:pStyle w:val="Normal"/>
        <w:tabs>
          <w:tab w:val="clear" w:pos="720"/>
          <w:tab w:val="right" w:pos="9360" w:leader="dot"/>
        </w:tabs>
        <w:ind w:start="720" w:end="0"/>
        <w:rPr/>
      </w:pPr>
      <w:r>
        <w:rPr/>
        <w:t>Enabling, Service, &amp; Wheeling Agreements</w:t>
        <w:tab/>
        <w:t>1-137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“Financially Firm”, “Unit Firm” &amp; other contract terms</w:t>
        <w:tab/>
        <w:t>1-139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Calculating Transmission Prices</w:t>
        <w:tab/>
        <w:t>1-143</w:t>
      </w:r>
    </w:p>
    <w:p>
      <w:pPr>
        <w:pStyle w:val="Normal"/>
        <w:tabs>
          <w:tab w:val="clear" w:pos="720"/>
          <w:tab w:val="left" w:pos="5700" w:leader="none"/>
        </w:tabs>
        <w:rPr/>
      </w:pPr>
      <w:r>
        <w:rPr/>
        <w:t xml:space="preserve">              </w:t>
      </w:r>
      <w:r>
        <w:rPr/>
        <w:t>Virtual title transfer &amp; bulk power “Bookouts”</w:t>
        <w:tab/>
        <w:t xml:space="preserve">                                                               </w:t>
      </w:r>
    </w:p>
    <w:p>
      <w:pPr>
        <w:pStyle w:val="Normal"/>
        <w:tabs>
          <w:tab w:val="clear" w:pos="720"/>
          <w:tab w:val="left" w:pos="5700" w:leader="none"/>
        </w:tabs>
        <w:rPr>
          <w:sz w:val="21"/>
        </w:rPr>
      </w:pPr>
      <w:r>
        <w:rPr/>
        <w:t xml:space="preserve">               </w:t>
      </w:r>
      <w:r>
        <w:rPr/>
        <w:t>Scheduling, shrinkage and TIS tags</w:t>
      </w:r>
    </w:p>
    <w:p>
      <w:pPr>
        <w:pStyle w:val="Normal"/>
        <w:tabs>
          <w:tab w:val="clear" w:pos="720"/>
          <w:tab w:val="left" w:pos="5700" w:leader="none"/>
        </w:tabs>
        <w:spacing w:lineRule="auto" w:line="360"/>
        <w:rPr>
          <w:sz w:val="21"/>
        </w:rPr>
      </w:pPr>
      <w:r>
        <w:rPr>
          <w:sz w:val="21"/>
        </w:rPr>
      </w:r>
    </w:p>
    <w:p>
      <w:pPr>
        <w:pStyle w:val="Normal"/>
        <w:tabs>
          <w:tab w:val="clear" w:pos="720"/>
          <w:tab w:val="left" w:pos="5700" w:leader="none"/>
        </w:tabs>
        <w:rPr>
          <w:sz w:val="21"/>
        </w:rPr>
      </w:pPr>
      <w:r>
        <w:rPr>
          <w:b/>
          <w:sz w:val="22"/>
          <w:u w:val="single"/>
        </w:rPr>
        <w:t>2:15 PM to 3:00 PM</w:t>
      </w:r>
    </w:p>
    <w:p>
      <w:pPr>
        <w:pStyle w:val="Header"/>
        <w:tabs>
          <w:tab w:val="clear" w:pos="4320"/>
          <w:tab w:val="clear" w:pos="8640"/>
          <w:tab w:val="left" w:pos="720" w:leader="none"/>
          <w:tab w:val="right" w:pos="9360" w:leader="dot"/>
        </w:tabs>
        <w:spacing w:lineRule="auto" w:line="120"/>
        <w:rPr/>
      </w:pPr>
      <w:r>
        <w:rPr/>
        <w:tab/>
      </w:r>
    </w:p>
    <w:p>
      <w:pPr>
        <w:pStyle w:val="Normal"/>
        <w:tabs>
          <w:tab w:val="left" w:pos="720" w:leader="none"/>
          <w:tab w:val="right" w:pos="9360" w:leader="dot"/>
        </w:tabs>
        <w:rPr>
          <w:b/>
          <w:sz w:val="22"/>
        </w:rPr>
      </w:pPr>
      <w:r>
        <w:rPr>
          <w:b/>
          <w:sz w:val="22"/>
        </w:rPr>
        <w:t>V. Spark Spreads, Heat Rates &amp; Tolling Arrangements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</w:r>
      <w:r>
        <w:rPr>
          <w:color w:val="000000"/>
          <w:sz w:val="22"/>
        </w:rPr>
        <w:t xml:space="preserve">Heat rates and their impact on cross-commodity economics  </w:t>
      </w:r>
    </w:p>
    <w:p>
      <w:pPr>
        <w:pStyle w:val="Normal"/>
        <w:widowControl/>
        <w:tabs>
          <w:tab w:val="clear" w:pos="720"/>
          <w:tab w:val="right" w:pos="10440" w:leader="dot"/>
        </w:tabs>
        <w:ind w:start="720" w:end="0"/>
        <w:rPr>
          <w:color w:val="000000"/>
          <w:sz w:val="22"/>
        </w:rPr>
      </w:pPr>
      <w:r>
        <w:rPr>
          <w:color w:val="000000"/>
          <w:sz w:val="22"/>
        </w:rPr>
        <w:t xml:space="preserve">Converting gas, oil &amp; coal MMBtu prices to MWh prices </w:t>
      </w:r>
    </w:p>
    <w:p>
      <w:pPr>
        <w:pStyle w:val="Normal"/>
        <w:widowControl/>
        <w:tabs>
          <w:tab w:val="clear" w:pos="720"/>
          <w:tab w:val="right" w:pos="10440" w:leader="dot"/>
        </w:tabs>
        <w:ind w:start="720" w:end="0"/>
        <w:rPr>
          <w:color w:val="000000"/>
          <w:sz w:val="22"/>
        </w:rPr>
      </w:pPr>
      <w:r>
        <w:rPr>
          <w:color w:val="000000"/>
          <w:sz w:val="22"/>
        </w:rPr>
        <w:t xml:space="preserve">The difference between operational &amp; economic heat rates  </w:t>
      </w:r>
    </w:p>
    <w:p>
      <w:pPr>
        <w:pStyle w:val="Normal"/>
        <w:widowControl/>
        <w:tabs>
          <w:tab w:val="clear" w:pos="720"/>
          <w:tab w:val="right" w:pos="10440" w:leader="dot"/>
        </w:tabs>
        <w:ind w:start="720" w:end="0"/>
        <w:rPr/>
      </w:pPr>
      <w:r>
        <w:rPr>
          <w:color w:val="000000"/>
          <w:sz w:val="22"/>
        </w:rPr>
        <w:t xml:space="preserve">Converting gas, oil &amp; coal MMBtu </w:t>
      </w:r>
      <w:r>
        <w:rPr>
          <w:i/>
          <w:color w:val="000000"/>
          <w:sz w:val="22"/>
        </w:rPr>
        <w:t xml:space="preserve">quantities </w:t>
      </w:r>
      <w:r>
        <w:rPr>
          <w:color w:val="000000"/>
          <w:sz w:val="22"/>
        </w:rPr>
        <w:t xml:space="preserve">to Mwhs  </w:t>
      </w:r>
    </w:p>
    <w:p>
      <w:pPr>
        <w:pStyle w:val="Normal"/>
        <w:tabs>
          <w:tab w:val="left" w:pos="720" w:leader="none"/>
          <w:tab w:val="right" w:pos="9360" w:leader="dot"/>
        </w:tabs>
        <w:rPr>
          <w:b/>
          <w:color w:val="000000"/>
          <w:sz w:val="22"/>
        </w:rPr>
      </w:pPr>
      <w:r>
        <w:rPr>
          <w:color w:val="000000"/>
          <w:sz w:val="22"/>
        </w:rPr>
        <w:tab/>
        <w:t>Defining the “Spark Spread”</w:t>
      </w:r>
    </w:p>
    <w:p>
      <w:pPr>
        <w:pStyle w:val="Normal"/>
        <w:widowControl/>
        <w:tabs>
          <w:tab w:val="clear" w:pos="720"/>
          <w:tab w:val="right" w:pos="10440" w:leader="dot"/>
        </w:tabs>
        <w:ind w:start="720" w:end="0"/>
        <w:rPr>
          <w:color w:val="000000"/>
          <w:sz w:val="22"/>
        </w:rPr>
      </w:pPr>
      <w:r>
        <w:rPr>
          <w:color w:val="000000"/>
          <w:sz w:val="22"/>
        </w:rPr>
        <w:t>Tolling and reverse tolling arrangements</w:t>
      </w:r>
    </w:p>
    <w:p>
      <w:pPr>
        <w:pStyle w:val="Normal"/>
        <w:widowControl/>
        <w:tabs>
          <w:tab w:val="clear" w:pos="720"/>
          <w:tab w:val="right" w:pos="10440" w:leader="dot"/>
        </w:tabs>
        <w:ind w:start="720" w:end="0"/>
        <w:rPr>
          <w:color w:val="000000"/>
          <w:sz w:val="22"/>
        </w:rPr>
      </w:pPr>
      <w:r>
        <w:rPr>
          <w:color w:val="000000"/>
          <w:sz w:val="22"/>
        </w:rPr>
        <w:t>Selling gas by wire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rPr>
          <w:b/>
          <w:color w:val="000000"/>
          <w:sz w:val="22"/>
        </w:rPr>
      </w:pPr>
      <w:r>
        <w:rPr>
          <w:b/>
          <w:color w:val="000000"/>
          <w:sz w:val="22"/>
        </w:rPr>
      </w:r>
    </w:p>
    <w:p>
      <w:pPr>
        <w:pStyle w:val="Normal"/>
        <w:tabs>
          <w:tab w:val="clear" w:pos="720"/>
          <w:tab w:val="left" w:pos="5700" w:leader="none"/>
        </w:tabs>
        <w:rPr>
          <w:sz w:val="21"/>
        </w:rPr>
      </w:pPr>
      <w:r>
        <w:rPr>
          <w:b/>
          <w:sz w:val="22"/>
          <w:u w:val="single"/>
        </w:rPr>
        <w:t>3:15 PM to 5:00 PM</w:t>
      </w:r>
    </w:p>
    <w:p>
      <w:pPr>
        <w:pStyle w:val="Normal"/>
        <w:tabs>
          <w:tab w:val="clear" w:pos="720"/>
          <w:tab w:val="left" w:pos="0" w:leader="none"/>
        </w:tabs>
        <w:spacing w:lineRule="auto" w:line="12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</w:rPr>
      </w:pPr>
      <w:r>
        <w:rPr>
          <w:b/>
          <w:sz w:val="22"/>
        </w:rPr>
        <w:t xml:space="preserve">      </w:t>
      </w:r>
      <w:r>
        <w:rPr>
          <w:b/>
          <w:sz w:val="22"/>
        </w:rPr>
        <w:t>VI. Introduction to Gas-to-Electricity Arbitrage</w:t>
      </w:r>
    </w:p>
    <w:p>
      <w:pPr>
        <w:pStyle w:val="Normal"/>
        <w:tabs>
          <w:tab w:val="clear" w:pos="720"/>
          <w:tab w:val="left" w:pos="0" w:leader="none"/>
        </w:tabs>
        <w:rPr>
          <w:color w:val="000000"/>
          <w:sz w:val="22"/>
        </w:rPr>
      </w:pPr>
      <w:r>
        <w:rPr>
          <w:color w:val="000000"/>
          <w:sz w:val="22"/>
        </w:rPr>
        <w:tab/>
        <w:t>Gas-fired electric generation: refinery or electricity producer?</w:t>
      </w:r>
    </w:p>
    <w:p>
      <w:pPr>
        <w:pStyle w:val="Normal"/>
        <w:tabs>
          <w:tab w:val="clear" w:pos="720"/>
          <w:tab w:val="left" w:pos="0" w:leader="none"/>
        </w:tabs>
        <w:rPr>
          <w:color w:val="000000"/>
          <w:sz w:val="22"/>
        </w:rPr>
      </w:pPr>
      <w:r>
        <w:rPr>
          <w:color w:val="000000"/>
          <w:sz w:val="22"/>
        </w:rPr>
        <w:tab/>
        <w:t>Assets as financial options on locational, time or product “basis”</w:t>
      </w:r>
    </w:p>
    <w:p>
      <w:pPr>
        <w:pStyle w:val="Normal"/>
        <w:tabs>
          <w:tab w:val="clear" w:pos="720"/>
          <w:tab w:val="left" w:pos="0" w:leader="none"/>
        </w:tabs>
        <w:rPr>
          <w:color w:val="000000"/>
          <w:sz w:val="22"/>
        </w:rPr>
      </w:pPr>
      <w:r>
        <w:rPr>
          <w:color w:val="000000"/>
          <w:sz w:val="22"/>
        </w:rPr>
        <w:tab/>
        <w:t>Gas-fired generation as a spark-call option</w:t>
      </w:r>
    </w:p>
    <w:p>
      <w:pPr>
        <w:pStyle w:val="Normal"/>
        <w:tabs>
          <w:tab w:val="clear" w:pos="720"/>
          <w:tab w:val="left" w:pos="0" w:leader="none"/>
        </w:tabs>
        <w:rPr>
          <w:b/>
          <w:sz w:val="22"/>
        </w:rPr>
      </w:pPr>
      <w:r>
        <w:rPr>
          <w:color w:val="000000"/>
          <w:sz w:val="22"/>
        </w:rPr>
        <w:tab/>
        <w:t>Class discussion</w:t>
      </w:r>
    </w:p>
    <w:p>
      <w:pPr>
        <w:pStyle w:val="Normal"/>
        <w:tabs>
          <w:tab w:val="clear" w:pos="720"/>
          <w:tab w:val="left" w:pos="0" w:leader="none"/>
        </w:tabs>
        <w:spacing w:lineRule="auto" w:line="360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tabs>
          <w:tab w:val="clear" w:pos="720"/>
          <w:tab w:val="left" w:pos="0" w:leader="none"/>
        </w:tabs>
        <w:rPr>
          <w:sz w:val="24"/>
        </w:rPr>
      </w:pPr>
      <w:r>
        <w:rPr>
          <w:b/>
          <w:sz w:val="22"/>
        </w:rPr>
        <w:t xml:space="preserve">      </w:t>
      </w:r>
      <w:r>
        <w:rPr>
          <w:b/>
          <w:sz w:val="22"/>
        </w:rPr>
        <w:t xml:space="preserve">Appendix : </w:t>
      </w:r>
    </w:p>
    <w:p>
      <w:pPr>
        <w:pStyle w:val="Normal"/>
        <w:tabs>
          <w:tab w:val="clear" w:pos="720"/>
          <w:tab w:val="right" w:pos="9360" w:leader="dot"/>
        </w:tabs>
        <w:ind w:start="720" w:end="0"/>
        <w:rPr/>
      </w:pPr>
      <w:r>
        <w:rPr/>
        <w:t xml:space="preserve">List of Electric Power Industry Websites </w:t>
        <w:tab/>
        <w:t>2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Glossary of Electricity Terms</w:t>
        <w:tab/>
        <w:t>3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Deregulation Status by State</w:t>
        <w:tab/>
        <w:t>7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Sample Electricity Pricing Broker Sheets</w:t>
        <w:tab/>
        <w:t>10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 xml:space="preserve">Sample Enabling Agreement: Purchase of Power </w:t>
        <w:tab/>
        <w:t>14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Sample Enabling Agreement: Firm Transmission Service</w:t>
        <w:tab/>
        <w:t>24</w:t>
      </w:r>
    </w:p>
    <w:p>
      <w:pPr>
        <w:pStyle w:val="Normal"/>
        <w:tabs>
          <w:tab w:val="left" w:pos="720" w:leader="none"/>
          <w:tab w:val="right" w:pos="9360" w:leader="dot"/>
        </w:tabs>
        <w:rPr/>
      </w:pPr>
      <w:r>
        <w:rPr/>
        <w:tab/>
        <w:t>Sample Enabling Agreement: Non-Firm Transmission Service</w:t>
        <w:tab/>
        <w:t>28</w:t>
      </w:r>
    </w:p>
    <w:p>
      <w:pPr>
        <w:pStyle w:val="Normal"/>
        <w:tabs>
          <w:tab w:val="clear" w:pos="720"/>
          <w:tab w:val="left" w:pos="0" w:leader="none"/>
        </w:tabs>
        <w:ind w:start="720" w:end="0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5700" w:leader="none"/>
        </w:tabs>
        <w:rPr>
          <w:sz w:val="21"/>
        </w:rPr>
      </w:pPr>
      <w:r>
        <w:rPr>
          <w:sz w:val="21"/>
        </w:rPr>
        <w:tab/>
      </w:r>
    </w:p>
    <w:sectPr>
      <w:type w:val="continuous"/>
      <w:pgSz w:w="12240" w:h="15840"/>
      <w:pgMar w:left="900" w:right="900" w:gutter="0" w:header="0" w:top="360" w:footer="270" w:bottom="32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240"/>
      <w:rPr/>
    </w:pPr>
    <w:r>
      <w:rPr/>
    </w:r>
  </w:p>
  <w:p>
    <w:pPr>
      <w:pStyle w:val="Normal"/>
      <w:ind w:start="58" w:end="58"/>
      <w:rPr>
        <w:sz w:val="24"/>
      </w:rPr>
    </w:pPr>
    <w:r>
      <w:rPr>
        <w:sz w:val="24"/>
      </w:rPr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6017895" cy="177165"/>
              <wp:effectExtent l="0" t="0" r="0" b="0"/>
              <wp:wrapTopAndBottom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17895" cy="1771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jc w:val="center"/>
                            <w:rPr/>
                          </w:pPr>
                          <w:r>
                            <w:rPr>
                              <w:sz w:val="24"/>
                            </w:rPr>
                            <w:t>-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473.85pt;height:13.95pt;mso-wrap-distance-left:0pt;mso-wrap-distance-right:0pt;mso-wrap-distance-top:0pt;mso-wrap-distance-bottom:0pt;margin-top:0.05pt;mso-position-vertical-relative:text;margin-left:0.05pt;mso-position-horizontal-relative:text">
              <v:fill opacity="0f"/>
              <v:textbox inset="0in,0in,0in,0in">
                <w:txbxContent>
                  <w:p>
                    <w:pPr>
                      <w:pStyle w:val="Normal"/>
                      <w:jc w:val="center"/>
                      <w:rPr/>
                    </w:pPr>
                    <w:r>
                      <w:rPr>
                        <w:sz w:val="24"/>
                      </w:rPr>
                      <w:t>-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>-</w:t>
                    </w:r>
                  </w:p>
                </w:txbxContent>
              </v:textbox>
              <w10:wrap type="topAndBottom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i/>
      <w:iCs/>
      <w:sz w:val="40"/>
      <w:szCs w:val="4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ind w:hanging="720" w:start="720" w:end="0"/>
      <w:jc w:val="center"/>
      <w:outlineLvl w:val="1"/>
    </w:pPr>
    <w:rPr>
      <w:b/>
      <w:bCs/>
      <w:color w:val="000000"/>
      <w:sz w:val="28"/>
      <w:szCs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left" w:pos="0" w:leader="none"/>
      </w:tabs>
      <w:outlineLvl w:val="2"/>
    </w:pPr>
    <w:rPr>
      <w:b/>
      <w:bCs/>
      <w:sz w:val="22"/>
      <w:szCs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2">
    <w:name w:val="WW8Num10z2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qFormat/>
    <w:rPr/>
  </w:style>
  <w:style w:type="character" w:styleId="QuickFormat1">
    <w:name w:val="QuickFormat1"/>
    <w:qFormat/>
    <w:rPr>
      <w:rFonts w:ascii="Times New Roman" w:hAnsi="Times New Roman" w:cs="Times New Roman"/>
      <w:color w:val="000000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cs="Arial"/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2000-07-14T09:51:00Z</dcterms:created>
  <dc:creator>Barbara Mannarino</dc:creator>
  <dc:description/>
  <dc:language>en-CA</dc:language>
  <cp:lastModifiedBy>scorman</cp:lastModifiedBy>
  <cp:lastPrinted>2000-08-01T14:20:00Z</cp:lastPrinted>
  <dcterms:modified xsi:type="dcterms:W3CDTF">2000-08-01T16:51:00Z</dcterms:modified>
  <cp:revision>48</cp:revision>
  <dc:subject/>
  <dc:title>PGS Energy Training</dc:title>
</cp:coreProperties>
</file>