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ind w:hanging="0" w:start="0" w:end="0"/>
        <w:rPr>
          <w:sz w:val="24"/>
        </w:rPr>
      </w:pPr>
      <w:r>
        <w:rPr>
          <w:sz w:val="24"/>
        </w:rPr>
      </w:r>
    </w:p>
    <w:p>
      <w:pPr>
        <w:pStyle w:val="BodyTextIndent"/>
        <w:ind w:hanging="0" w:start="0" w:end="0"/>
        <w:rPr>
          <w:sz w:val="24"/>
        </w:rPr>
      </w:pPr>
      <w:r>
        <w:rPr>
          <w:sz w:val="24"/>
        </w:rPr>
      </w:r>
    </w:p>
    <w:p>
      <w:pPr>
        <w:pStyle w:val="BodyTextIndent"/>
        <w:ind w:hanging="0" w:start="0" w:end="0"/>
        <w:rPr>
          <w:sz w:val="24"/>
        </w:rPr>
      </w:pPr>
      <w:r>
        <w:rPr>
          <w:sz w:val="24"/>
        </w:rPr>
      </w:r>
    </w:p>
    <w:p>
      <w:pPr>
        <w:pStyle w:val="BodyTextIndent"/>
        <w:ind w:hanging="0" w:start="0" w:end="0"/>
        <w:rPr>
          <w:sz w:val="24"/>
        </w:rPr>
      </w:pPr>
      <w:r>
        <w:rPr>
          <w:sz w:val="24"/>
        </w:rPr>
      </w:r>
    </w:p>
    <w:p>
      <w:pPr>
        <w:pStyle w:val="BodyTextIndent"/>
        <w:ind w:hanging="0" w:start="0" w:end="0"/>
        <w:jc w:val="center"/>
        <w:rPr>
          <w:sz w:val="24"/>
        </w:rPr>
      </w:pPr>
      <w:r>
        <w:rPr>
          <w:sz w:val="24"/>
        </w:rPr>
        <w:t>October 20, 2000</w:t>
      </w:r>
    </w:p>
    <w:p>
      <w:pPr>
        <w:pStyle w:val="BodyTextIndent"/>
        <w:ind w:hanging="0" w:start="0" w:end="0"/>
        <w:rPr>
          <w:sz w:val="24"/>
        </w:rPr>
      </w:pPr>
      <w:r>
        <w:rPr>
          <w:sz w:val="24"/>
        </w:rPr>
      </w:r>
    </w:p>
    <w:p>
      <w:pPr>
        <w:pStyle w:val="BodyTextIndent"/>
        <w:ind w:hanging="0" w:start="0" w:end="0"/>
        <w:rPr>
          <w:sz w:val="24"/>
        </w:rPr>
      </w:pPr>
      <w:r>
        <w:rPr>
          <w:sz w:val="24"/>
        </w:rPr>
        <w:t xml:space="preserve">The Board of Managers of </w:t>
      </w:r>
    </w:p>
    <w:p>
      <w:pPr>
        <w:pStyle w:val="BodyTextIndent"/>
        <w:ind w:hanging="0" w:start="0" w:end="0"/>
        <w:rPr>
          <w:sz w:val="24"/>
        </w:rPr>
      </w:pPr>
      <w:r>
        <w:rPr>
          <w:sz w:val="24"/>
        </w:rPr>
        <w:t>enovate, L.L.C.</w:t>
      </w:r>
    </w:p>
    <w:p>
      <w:pPr>
        <w:pStyle w:val="BodyTextIndent"/>
        <w:ind w:hanging="0" w:start="0" w:end="0"/>
        <w:rPr>
          <w:sz w:val="24"/>
        </w:rPr>
      </w:pPr>
      <w:r>
        <w:rPr>
          <w:sz w:val="24"/>
        </w:rPr>
      </w:r>
    </w:p>
    <w:p>
      <w:pPr>
        <w:pStyle w:val="BodyTextIndent"/>
        <w:ind w:hanging="0" w:start="0" w:end="0"/>
        <w:rPr>
          <w:sz w:val="24"/>
        </w:rPr>
      </w:pPr>
      <w:r>
        <w:rPr>
          <w:sz w:val="24"/>
        </w:rPr>
      </w:r>
    </w:p>
    <w:p>
      <w:pPr>
        <w:pStyle w:val="BodyTextIndent"/>
        <w:ind w:hanging="0" w:start="0" w:end="0"/>
        <w:jc w:val="both"/>
        <w:rPr/>
      </w:pPr>
      <w:r>
        <w:rPr>
          <w:sz w:val="24"/>
        </w:rPr>
        <w:tab/>
        <w:t xml:space="preserve">Pursuant to </w:t>
      </w:r>
      <w:del w:id="0" w:author="kmann" w:date="2000-10-21T11:28:00Z">
        <w:r>
          <w:rPr>
            <w:sz w:val="24"/>
          </w:rPr>
          <w:delText>Article X</w:delText>
        </w:r>
      </w:del>
      <w:ins w:id="1" w:author="kmann" w:date="2000-10-21T11:28:00Z">
        <w:r>
          <w:rPr>
            <w:sz w:val="24"/>
          </w:rPr>
          <w:t xml:space="preserve"> Section 12.5</w:t>
        </w:r>
      </w:ins>
      <w:r>
        <w:rPr>
          <w:sz w:val="24"/>
        </w:rPr>
        <w:t xml:space="preserve"> of the Limited Liability Company Agreement </w:t>
      </w:r>
      <w:ins w:id="2" w:author="kmann" w:date="2000-10-21T11:35:00Z">
        <w:r>
          <w:rPr>
            <w:sz w:val="24"/>
          </w:rPr>
          <w:t xml:space="preserve"> (“the Agreement”) </w:t>
        </w:r>
      </w:ins>
      <w:r>
        <w:rPr>
          <w:sz w:val="24"/>
        </w:rPr>
        <w:t xml:space="preserve">of enovate, L.L.C., this letter documents the agreement between Enron MW, L.L.C. and Peoples MW, L.L.C. to waive Section 10.3 </w:t>
      </w:r>
      <w:r>
        <w:rPr>
          <w:sz w:val="24"/>
          <w:u w:val="single"/>
        </w:rPr>
        <w:t>Audit and Audit Rights</w:t>
      </w:r>
      <w:r>
        <w:rPr>
          <w:sz w:val="24"/>
        </w:rPr>
        <w:t xml:space="preserve"> requiring delivery of (a) audited financial statements and (b) a comparison of actual financial results to the Operating Budget</w:t>
      </w:r>
      <w:ins w:id="3" w:author="kmann" w:date="2000-10-21T11:34:00Z">
        <w:r>
          <w:rPr>
            <w:sz w:val="24"/>
          </w:rPr>
          <w:t>.  This waiver is</w:t>
        </w:r>
      </w:ins>
      <w:r>
        <w:rPr>
          <w:sz w:val="24"/>
        </w:rPr>
        <w:t xml:space="preserve"> </w:t>
      </w:r>
      <w:ins w:id="4" w:author="kmann" w:date="2000-10-21T11:36:00Z">
        <w:r>
          <w:rPr>
            <w:sz w:val="24"/>
          </w:rPr>
          <w:t xml:space="preserve">only </w:t>
        </w:r>
      </w:ins>
      <w:r>
        <w:rPr>
          <w:sz w:val="24"/>
        </w:rPr>
        <w:t>for the fiscal year ending September 2000.</w:t>
      </w:r>
    </w:p>
    <w:p>
      <w:pPr>
        <w:pStyle w:val="BodyTextIndent"/>
        <w:jc w:val="both"/>
        <w:rPr>
          <w:sz w:val="24"/>
        </w:rPr>
      </w:pPr>
      <w:r>
        <w:rPr>
          <w:sz w:val="24"/>
        </w:rPr>
      </w:r>
    </w:p>
    <w:p>
      <w:pPr>
        <w:pStyle w:val="BodyTextIndent"/>
        <w:ind w:hanging="0" w:start="0" w:end="0"/>
        <w:jc w:val="both"/>
        <w:rPr>
          <w:sz w:val="24"/>
        </w:rPr>
      </w:pPr>
      <w:r>
        <w:rPr>
          <w:sz w:val="24"/>
        </w:rPr>
        <w:tab/>
        <w:t>Due to the limited scope of enovate’s activities during this period, audited financial statements and a comparison of the operating budget would not be materially useful.  Upon approval by the Board of Managers of this waiver, unaudited financial statements for fiscal year ending September 2000 will be delivered.</w:t>
      </w:r>
    </w:p>
    <w:p>
      <w:pPr>
        <w:pStyle w:val="BodyTextIndent"/>
        <w:ind w:hanging="0" w:start="0" w:end="0"/>
        <w:jc w:val="both"/>
        <w:rPr>
          <w:sz w:val="24"/>
        </w:rPr>
      </w:pPr>
      <w:r>
        <w:rPr>
          <w:sz w:val="24"/>
        </w:rPr>
      </w:r>
    </w:p>
    <w:p>
      <w:pPr>
        <w:pStyle w:val="BodyTextIndent"/>
        <w:ind w:hanging="0" w:start="0" w:end="0"/>
        <w:jc w:val="both"/>
        <w:rPr/>
      </w:pPr>
      <w:r>
        <w:rPr>
          <w:sz w:val="24"/>
        </w:rPr>
        <w:tab/>
      </w:r>
      <w:del w:id="5" w:author="kmann" w:date="2000-10-21T11:28:00Z">
        <w:r>
          <w:rPr>
            <w:sz w:val="24"/>
          </w:rPr>
          <w:delText>In the future, enovate’s Board of Managers will select an independent auditor and audited financial statements will be provided for subsequent fiscal years consistent with the terms of enovate’s L.L.C. Agreement</w:delText>
        </w:r>
      </w:del>
      <w:r>
        <w:rPr>
          <w:sz w:val="24"/>
        </w:rPr>
        <w:t xml:space="preserve">.   </w:t>
      </w:r>
    </w:p>
    <w:p>
      <w:pPr>
        <w:pStyle w:val="BodyTextIndent"/>
        <w:ind w:hanging="0" w:start="0" w:end="0"/>
        <w:jc w:val="both"/>
        <w:rPr>
          <w:sz w:val="24"/>
        </w:rPr>
      </w:pPr>
      <w:r>
        <w:rPr>
          <w:sz w:val="24"/>
        </w:rPr>
      </w:r>
    </w:p>
    <w:p>
      <w:pPr>
        <w:pStyle w:val="BodyTextIndent"/>
        <w:ind w:hanging="0" w:start="0" w:end="0"/>
        <w:jc w:val="both"/>
        <w:rPr>
          <w:sz w:val="24"/>
          <w:del w:id="11" w:author="kmann" w:date="2000-10-21T11:29:00Z"/>
        </w:rPr>
      </w:pPr>
      <w:r>
        <w:rPr>
          <w:sz w:val="24"/>
        </w:rPr>
        <w:tab/>
      </w:r>
      <w:ins w:id="6" w:author="kmann" w:date="2000-10-21T11:28:00Z">
        <w:r>
          <w:rPr>
            <w:sz w:val="24"/>
          </w:rPr>
          <w:t xml:space="preserve">By signing below, the Members </w:t>
        </w:r>
      </w:ins>
      <w:del w:id="7" w:author="kmann" w:date="2000-10-21T11:28:00Z">
        <w:r>
          <w:rPr>
            <w:sz w:val="24"/>
          </w:rPr>
          <w:delText>You may</w:delText>
        </w:r>
      </w:del>
      <w:r>
        <w:rPr>
          <w:sz w:val="24"/>
        </w:rPr>
        <w:t xml:space="preserve"> consent to the waiver</w:t>
      </w:r>
      <w:ins w:id="8" w:author="kmann" w:date="2000-10-21T11:30:00Z">
        <w:r>
          <w:rPr>
            <w:sz w:val="24"/>
          </w:rPr>
          <w:t xml:space="preserve"> set forth above.</w:t>
        </w:r>
      </w:ins>
      <w:r>
        <w:rPr>
          <w:sz w:val="24"/>
        </w:rPr>
        <w:t xml:space="preserve"> </w:t>
      </w:r>
      <w:del w:id="9" w:author="kmann" w:date="2000-10-21T11:29:00Z">
        <w:r>
          <w:rPr>
            <w:sz w:val="24"/>
          </w:rPr>
          <w:delText>by signing this letter below and returning it to Ms. Laura Luce.  Thank you for your prompt attention to this matter.</w:delText>
        </w:r>
      </w:del>
      <w:ins w:id="10" w:author="kmann" w:date="2000-10-21T11:35:00Z">
        <w:r>
          <w:rPr>
            <w:sz w:val="24"/>
          </w:rPr>
          <w:t xml:space="preserve">  </w:t>
        </w:r>
      </w:ins>
    </w:p>
    <w:p>
      <w:pPr>
        <w:pStyle w:val="BodyTextIndent"/>
        <w:ind w:hanging="0" w:start="0" w:end="0"/>
        <w:jc w:val="both"/>
        <w:rPr>
          <w:sz w:val="24"/>
        </w:rPr>
      </w:pPr>
      <w:r>
        <w:rPr>
          <w:sz w:val="24"/>
        </w:rPr>
      </w:r>
    </w:p>
    <w:p>
      <w:pPr>
        <w:pStyle w:val="BodyTextIndent"/>
        <w:ind w:hanging="0" w:start="0" w:end="0"/>
        <w:jc w:val="both"/>
        <w:rPr>
          <w:sz w:val="24"/>
        </w:rPr>
      </w:pPr>
      <w:r>
        <w:rPr>
          <w:sz w:val="24"/>
        </w:rPr>
      </w:r>
    </w:p>
    <w:p>
      <w:pPr>
        <w:pStyle w:val="BodyTextIndent"/>
        <w:ind w:hanging="0" w:start="0" w:end="0"/>
        <w:jc w:val="both"/>
        <w:rPr>
          <w:sz w:val="24"/>
        </w:rPr>
      </w:pPr>
      <w:r>
        <w:rPr>
          <w:sz w:val="24"/>
        </w:rPr>
      </w:r>
    </w:p>
    <w:p>
      <w:pPr>
        <w:pStyle w:val="BodyTextIndent"/>
        <w:jc w:val="both"/>
        <w:rPr>
          <w:sz w:val="24"/>
        </w:rPr>
      </w:pPr>
      <w:r>
        <w:rPr>
          <w:sz w:val="24"/>
        </w:rPr>
        <w:t>Agreed and Accepted:</w:t>
      </w:r>
    </w:p>
    <w:p>
      <w:pPr>
        <w:pStyle w:val="BodyTextIndent"/>
        <w:jc w:val="both"/>
        <w:rPr>
          <w:sz w:val="24"/>
        </w:rPr>
      </w:pPr>
      <w:r>
        <w:rPr>
          <w:sz w:val="24"/>
        </w:rPr>
      </w:r>
    </w:p>
    <w:p>
      <w:pPr>
        <w:pStyle w:val="BodyTextIndent"/>
        <w:jc w:val="both"/>
        <w:rPr>
          <w:sz w:val="24"/>
        </w:rPr>
      </w:pPr>
      <w:r>
        <w:rPr>
          <w:sz w:val="24"/>
        </w:rPr>
      </w:r>
    </w:p>
    <w:p>
      <w:pPr>
        <w:pStyle w:val="BodyTextIndent"/>
        <w:jc w:val="both"/>
        <w:rPr>
          <w:sz w:val="24"/>
        </w:rPr>
      </w:pPr>
      <w:r>
        <w:rPr>
          <w:sz w:val="24"/>
        </w:rPr>
      </w:r>
    </w:p>
    <w:p>
      <w:pPr>
        <w:pStyle w:val="BodyTextIndent"/>
        <w:jc w:val="both"/>
        <w:rPr>
          <w:sz w:val="24"/>
          <w:u w:val="single"/>
        </w:rPr>
      </w:pPr>
      <w:r>
        <w:rPr>
          <w:sz w:val="24"/>
          <w:u w:val="single"/>
        </w:rPr>
        <w:t xml:space="preserve">______________________________ </w:t>
      </w:r>
    </w:p>
    <w:p>
      <w:pPr>
        <w:pStyle w:val="BodyTextIndent"/>
        <w:jc w:val="both"/>
        <w:rPr>
          <w:sz w:val="24"/>
        </w:rPr>
      </w:pPr>
      <w:r>
        <w:rPr>
          <w:sz w:val="24"/>
        </w:rPr>
        <w:t>Janet Dietrich, Enron MW, L.L.C.</w:t>
      </w:r>
    </w:p>
    <w:p>
      <w:pPr>
        <w:pStyle w:val="BodyTextIndent"/>
        <w:jc w:val="both"/>
        <w:rPr>
          <w:sz w:val="24"/>
        </w:rPr>
      </w:pPr>
      <w:r>
        <w:rPr>
          <w:sz w:val="24"/>
        </w:rPr>
      </w:r>
    </w:p>
    <w:p>
      <w:pPr>
        <w:pStyle w:val="BodyTextIndent"/>
        <w:jc w:val="both"/>
        <w:rPr>
          <w:sz w:val="24"/>
        </w:rPr>
      </w:pPr>
      <w:r>
        <w:rPr>
          <w:sz w:val="24"/>
        </w:rPr>
      </w:r>
    </w:p>
    <w:p>
      <w:pPr>
        <w:pStyle w:val="BodyTextIndent"/>
        <w:jc w:val="both"/>
        <w:rPr>
          <w:sz w:val="24"/>
        </w:rPr>
      </w:pPr>
      <w:r>
        <w:rPr>
          <w:sz w:val="24"/>
        </w:rPr>
      </w:r>
    </w:p>
    <w:p>
      <w:pPr>
        <w:pStyle w:val="BodyTextIndent"/>
        <w:jc w:val="both"/>
        <w:rPr>
          <w:b/>
          <w:sz w:val="24"/>
          <w:u w:val="single"/>
        </w:rPr>
      </w:pPr>
      <w:r>
        <w:rPr>
          <w:b/>
          <w:sz w:val="24"/>
          <w:u w:val="single"/>
        </w:rPr>
        <w:t>_______________________________</w:t>
      </w:r>
    </w:p>
    <w:p>
      <w:pPr>
        <w:pStyle w:val="BodyTextIndent"/>
        <w:jc w:val="both"/>
        <w:rPr>
          <w:sz w:val="24"/>
        </w:rPr>
      </w:pPr>
      <w:r>
        <w:rPr>
          <w:sz w:val="24"/>
        </w:rPr>
        <w:t>William Morrow, Peoples MW, L.L.C.</w:t>
      </w:r>
    </w:p>
    <w:p>
      <w:pPr>
        <w:pStyle w:val="BodyTextIndent"/>
        <w:jc w:val="both"/>
        <w:rPr>
          <w:sz w:val="24"/>
        </w:rPr>
      </w:pPr>
      <w:r>
        <w:rPr>
          <w:sz w:val="24"/>
        </w:rPr>
      </w:r>
    </w:p>
    <w:p>
      <w:pPr>
        <w:pStyle w:val="BodyTextIndent"/>
        <w:jc w:val="both"/>
        <w:rPr>
          <w:sz w:val="24"/>
        </w:rPr>
      </w:pPr>
      <w:r>
        <w:rPr>
          <w:sz w:val="24"/>
        </w:rPr>
      </w:r>
    </w:p>
    <w:p>
      <w:pPr>
        <w:pStyle w:val="BodyTextIndent"/>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2000-10-21T13:52:00Z</dcterms:created>
  <dc:creator>bfunk</dc:creator>
  <dc:description/>
  <dc:language>en-CA</dc:language>
  <cp:lastModifiedBy>kmann</cp:lastModifiedBy>
  <cp:lastPrinted>2000-10-21T11:21:00Z</cp:lastPrinted>
  <dcterms:modified xsi:type="dcterms:W3CDTF">2000-10-21T14:06:00Z</dcterms:modified>
  <cp:revision>4</cp:revision>
  <dc:subject/>
  <dc:title>July 18, 2000</dc:title>
</cp:coreProperties>
</file>