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2870" w:type="dxa"/>
        <w:jc w:val="start"/>
        <w:tblInd w:w="144" w:type="dxa"/>
        <w:tblLayout w:type="fixed"/>
        <w:tblCellMar>
          <w:top w:w="0" w:type="dxa"/>
          <w:start w:w="144" w:type="dxa"/>
          <w:bottom w:w="0" w:type="dxa"/>
          <w:end w:w="144" w:type="dxa"/>
        </w:tblCellMar>
      </w:tblPr>
      <w:tblGrid>
        <w:gridCol w:w="5220"/>
        <w:gridCol w:w="5310"/>
        <w:gridCol w:w="2340"/>
      </w:tblGrid>
      <w:tr>
        <w:trPr/>
        <w:tc>
          <w:tcPr>
            <w:tcW w:w="5220" w:type="dxa"/>
            <w:tcBorders>
              <w:top w:val="single" w:sz="4" w:space="0" w:color="000000"/>
              <w:start w:val="single" w:sz="4" w:space="0" w:color="000000"/>
              <w:bottom w:val="single" w:sz="4" w:space="0" w:color="000000"/>
              <w:end w:val="single" w:sz="4" w:space="0" w:color="000000"/>
            </w:tcBorders>
            <w:shd w:fill="E5E5E5" w:val="clear"/>
          </w:tcPr>
          <w:p>
            <w:pPr>
              <w:pStyle w:val="Normal"/>
              <w:rPr>
                <w:b/>
                <w:sz w:val="36"/>
              </w:rPr>
            </w:pPr>
            <w:r>
              <w:rPr>
                <w:b/>
                <w:sz w:val="36"/>
              </w:rPr>
              <w:t>Items to be addressed</w:t>
            </w:r>
          </w:p>
        </w:tc>
        <w:tc>
          <w:tcPr>
            <w:tcW w:w="5310" w:type="dxa"/>
            <w:tcBorders>
              <w:top w:val="single" w:sz="4" w:space="0" w:color="000000"/>
              <w:start w:val="single" w:sz="4" w:space="0" w:color="000000"/>
              <w:bottom w:val="single" w:sz="4" w:space="0" w:color="000000"/>
              <w:end w:val="single" w:sz="4" w:space="0" w:color="000000"/>
            </w:tcBorders>
            <w:shd w:fill="E5E5E5" w:val="clear"/>
          </w:tcPr>
          <w:p>
            <w:pPr>
              <w:pStyle w:val="Normal"/>
              <w:rPr>
                <w:b/>
                <w:sz w:val="36"/>
              </w:rPr>
            </w:pPr>
            <w:r>
              <w:rPr>
                <w:b/>
                <w:sz w:val="36"/>
              </w:rPr>
              <w:t>Action Step</w:t>
            </w:r>
          </w:p>
        </w:tc>
        <w:tc>
          <w:tcPr>
            <w:tcW w:w="2340" w:type="dxa"/>
            <w:tcBorders>
              <w:top w:val="single" w:sz="4" w:space="0" w:color="000000"/>
              <w:start w:val="single" w:sz="4" w:space="0" w:color="000000"/>
              <w:bottom w:val="single" w:sz="4" w:space="0" w:color="000000"/>
              <w:end w:val="single" w:sz="4" w:space="0" w:color="000000"/>
            </w:tcBorders>
            <w:shd w:fill="E5E5E5" w:val="clear"/>
          </w:tcPr>
          <w:p>
            <w:pPr>
              <w:pStyle w:val="Normal"/>
              <w:rPr>
                <w:b/>
                <w:sz w:val="36"/>
              </w:rPr>
            </w:pPr>
            <w:r>
              <w:rPr>
                <w:b/>
                <w:sz w:val="36"/>
              </w:rPr>
              <w:t>Target Date</w:t>
            </w:r>
          </w:p>
        </w:tc>
      </w:tr>
      <w:tr>
        <w:trPr>
          <w:trHeight w:val="466" w:hRule="atLeast"/>
        </w:trPr>
        <w:tc>
          <w:tcPr>
            <w:tcW w:w="52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One individual markets, schedules and confirms Australian coal deals and is not subject to the controls of the local office</w:t>
            </w:r>
          </w:p>
          <w:p>
            <w:pPr>
              <w:pStyle w:val="Normal"/>
              <w:rPr>
                <w:sz w:val="20"/>
              </w:rPr>
            </w:pPr>
            <w:r>
              <w:rPr>
                <w:sz w:val="20"/>
              </w:rPr>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Office manager should integrate the coal trading into local infrastructure and controls</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Immediately</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color w:val="0000FF"/>
                <w:sz w:val="20"/>
              </w:rPr>
            </w:pPr>
            <w:r>
              <w:rPr>
                <w:color w:val="0000FF"/>
                <w:sz w:val="20"/>
              </w:rPr>
              <w:t>Aspects of ECAP's dealings are subject to the same controls applied to electricity trading eg: David Minns does a credit check on counter-parties and confirmations are prepared by David.  The local marketer reports to London for deal approval.</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FF"/>
                <w:sz w:val="20"/>
              </w:rPr>
              <w:t>Whalley and McClellan assume global control for this function.  This action step will not be enacted without a change in current procedure</w:t>
            </w:r>
          </w:p>
        </w:tc>
        <w:tc>
          <w:tcPr>
            <w:tcW w:w="2340" w:type="dxa"/>
            <w:tcBorders>
              <w:top w:val="single" w:sz="4" w:space="0" w:color="000000"/>
              <w:start w:val="single" w:sz="4" w:space="0" w:color="000000"/>
              <w:bottom w:val="single" w:sz="4" w:space="0" w:color="000000"/>
              <w:end w:val="single" w:sz="4" w:space="0" w:color="000000"/>
            </w:tcBorders>
          </w:tcPr>
          <w:p>
            <w:pPr>
              <w:pStyle w:val="EnvelopeReturn"/>
              <w:snapToGrid w:val="false"/>
              <w:rPr>
                <w:rFonts w:ascii="Times New Roman" w:hAnsi="Times New Roman" w:cs="Times New Roman"/>
                <w:sz w:val="20"/>
              </w:rPr>
            </w:pPr>
            <w:r>
              <w:rPr>
                <w:rFonts w:cs="Times New Roman" w:ascii="Times New Roman" w:hAnsi="Times New Roman"/>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Houston confirmation process is ineffective due to time zone differences and local business practices</w:t>
            </w:r>
          </w:p>
          <w:p>
            <w:pPr>
              <w:pStyle w:val="Normal"/>
              <w:rPr>
                <w:sz w:val="20"/>
              </w:rPr>
            </w:pPr>
            <w:r>
              <w:rPr>
                <w:sz w:val="20"/>
              </w:rPr>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Develop confirm process in local office or region which is properly segregated from other operations and reports to Energy Operations in Houston</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June 2000</w:t>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color w:val="0000FF"/>
                <w:sz w:val="20"/>
              </w:rPr>
            </w:pPr>
            <w:r>
              <w:rPr>
                <w:color w:val="0000FF"/>
                <w:sz w:val="20"/>
              </w:rPr>
              <w:t>The current practice was determined to be necessary to satisfy Internal Control requirements. A move to local or region control would be supported by Sydney Office provided Head Office were comfortable with the level of controls the local operation were able to provide.</w:t>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color w:val="0000FF"/>
                <w:sz w:val="20"/>
              </w:rPr>
            </w:pPr>
            <w:r>
              <w:rPr>
                <w:color w:val="0000FF"/>
                <w:sz w:val="20"/>
              </w:rPr>
              <w:t>Enron Australia to coordinate with Houston.</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snapToGrid w:val="false"/>
              <w:rPr>
                <w:color w:val="0000FF"/>
                <w:sz w:val="20"/>
              </w:rPr>
            </w:pPr>
            <w:r>
              <w:rPr>
                <w:color w:val="0000FF"/>
                <w:sz w:val="20"/>
              </w:rPr>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SRA’s are not captured in Enpower and are valued in excel pivot tables.  Also, valuation of SRAs have subjective inputs which need to be reassessed on a more active basis</w:t>
            </w:r>
          </w:p>
          <w:p>
            <w:pPr>
              <w:pStyle w:val="Normal"/>
              <w:rPr>
                <w:sz w:val="20"/>
              </w:rPr>
            </w:pPr>
            <w:r>
              <w:rPr>
                <w:sz w:val="20"/>
              </w:rPr>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Integrate SRA’s into EnPower</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June 2000</w:t>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color w:val="0000FF"/>
                <w:sz w:val="20"/>
              </w:rPr>
            </w:pPr>
            <w:r>
              <w:rPr>
                <w:color w:val="0000FF"/>
                <w:sz w:val="20"/>
              </w:rPr>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color w:val="0000FF"/>
                <w:sz w:val="20"/>
              </w:rPr>
              <w:t>Risk management is working with Enpower development to enact this suggestion.</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snapToGrid w:val="false"/>
              <w:rPr>
                <w:sz w:val="20"/>
              </w:rPr>
            </w:pPr>
            <w:r>
              <w:rPr>
                <w:sz w:val="20"/>
              </w:rPr>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F/X, Coal and jet deals along with one PJM deal with ENA are not booked locally but rather on books in other regional books as deals with Enron Australia.  This prevents credit and others from viewing max exposure by counterparty</w:t>
            </w:r>
          </w:p>
          <w:p>
            <w:pPr>
              <w:pStyle w:val="Normal"/>
              <w:rPr>
                <w:sz w:val="20"/>
              </w:rPr>
            </w:pPr>
            <w:r>
              <w:rPr>
                <w:sz w:val="20"/>
              </w:rPr>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Establish Australian books for all commodities/instruments traded to facilitate proper capture and risk management</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rPr>
                <w:sz w:val="20"/>
              </w:rPr>
            </w:pPr>
            <w:r>
              <w:rPr>
                <w:sz w:val="20"/>
              </w:rPr>
              <w:t>April 2000</w:t>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sz w:val="20"/>
              </w:rPr>
            </w:pPr>
            <w:r>
              <w:rPr>
                <w:sz w:val="20"/>
              </w:rPr>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color w:val="0000FF"/>
                <w:sz w:val="20"/>
              </w:rPr>
            </w:pPr>
            <w:r>
              <w:rPr>
                <w:color w:val="0000FF"/>
                <w:sz w:val="20"/>
              </w:rPr>
              <w:t>These books may have to be established on a shadow basis.  There are certain tax rule surrounding FX/IR deals.  Crude and Liquids deals which we originate for Singapore are passed through as a spread with no open position risk.  A separate position can be kept.</w:t>
            </w:r>
          </w:p>
          <w:p>
            <w:pPr>
              <w:pStyle w:val="Normal"/>
              <w:rPr/>
            </w:pPr>
            <w:r>
              <w:rPr>
                <w:color w:val="0000FF"/>
                <w:sz w:val="20"/>
              </w:rPr>
              <w:t>Coal books reside in London and there is no plan to create a local book.</w:t>
            </w:r>
            <w:r>
              <w:rPr>
                <w:sz w:val="20"/>
              </w:rPr>
              <w:t xml:space="preserve"> </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snapToGrid w:val="false"/>
              <w:rPr>
                <w:sz w:val="20"/>
              </w:rPr>
            </w:pPr>
            <w:r>
              <w:rPr>
                <w:sz w:val="20"/>
              </w:rPr>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Limited segregation of duties exist in the back office due to the low number of individuals in this area.  E.g. Austraclear payments and cash reconciliation</w:t>
            </w:r>
          </w:p>
          <w:p>
            <w:pPr>
              <w:pStyle w:val="Normal"/>
              <w:rPr>
                <w:sz w:val="20"/>
              </w:rPr>
            </w:pPr>
            <w:r>
              <w:rPr>
                <w:sz w:val="20"/>
              </w:rPr>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Create proper segregation of duties by separating incompatible duties between individuals who report to Energy Operations and those who report to Financial Operations</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rPr>
                <w:sz w:val="20"/>
              </w:rPr>
            </w:pPr>
            <w:r>
              <w:rPr>
                <w:sz w:val="20"/>
              </w:rPr>
              <w:t>June 2000</w:t>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color w:val="0000FF"/>
                <w:sz w:val="20"/>
              </w:rPr>
            </w:pPr>
            <w:r>
              <w:rPr>
                <w:color w:val="0000FF"/>
                <w:sz w:val="20"/>
              </w:rPr>
              <w:t>While there is limited opportunities for segregation of duties with the current size of the office, there is currently segregation between the two tasks highlighted with the Austraclear payments being processed by Ros Ti and Heidi Mason and the cash reconciliation being done by Vickie Voon. While Heidi Mason has overview of both areas, the processing is separate.</w:t>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color w:val="0000FF"/>
                <w:sz w:val="20"/>
              </w:rPr>
            </w:pPr>
            <w:r>
              <w:rPr>
                <w:color w:val="0000FF"/>
                <w:sz w:val="20"/>
              </w:rPr>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snapToGrid w:val="false"/>
              <w:rPr>
                <w:sz w:val="20"/>
              </w:rPr>
            </w:pPr>
            <w:r>
              <w:rPr>
                <w:sz w:val="20"/>
              </w:rPr>
            </w:r>
          </w:p>
        </w:tc>
      </w:tr>
    </w:tbl>
    <w:p>
      <w:pPr>
        <w:pStyle w:val="Normal"/>
        <w:rPr>
          <w:sz w:val="2"/>
        </w:rPr>
      </w:pPr>
      <w:r>
        <w:rPr>
          <w:sz w:val="2"/>
        </w:rPr>
      </w:r>
      <w:r>
        <w:br w:type="page"/>
      </w:r>
    </w:p>
    <w:p>
      <w:pPr>
        <w:pStyle w:val="Normal"/>
        <w:rPr>
          <w:sz w:val="2"/>
        </w:rPr>
      </w:pPr>
      <w:r>
        <w:rPr>
          <w:sz w:val="2"/>
        </w:rPr>
      </w:r>
    </w:p>
    <w:tbl>
      <w:tblPr>
        <w:tblW w:w="12870" w:type="dxa"/>
        <w:jc w:val="start"/>
        <w:tblInd w:w="144" w:type="dxa"/>
        <w:tblLayout w:type="fixed"/>
        <w:tblCellMar>
          <w:top w:w="0" w:type="dxa"/>
          <w:start w:w="144" w:type="dxa"/>
          <w:bottom w:w="0" w:type="dxa"/>
          <w:end w:w="144" w:type="dxa"/>
        </w:tblCellMar>
      </w:tblPr>
      <w:tblGrid>
        <w:gridCol w:w="5220"/>
        <w:gridCol w:w="5310"/>
        <w:gridCol w:w="2340"/>
      </w:tblGrid>
      <w:tr>
        <w:trPr/>
        <w:tc>
          <w:tcPr>
            <w:tcW w:w="5220" w:type="dxa"/>
            <w:tcBorders>
              <w:top w:val="single" w:sz="4" w:space="0" w:color="000000"/>
              <w:start w:val="single" w:sz="4" w:space="0" w:color="000000"/>
              <w:end w:val="single" w:sz="4" w:space="0" w:color="000000"/>
            </w:tcBorders>
          </w:tcPr>
          <w:p>
            <w:pPr>
              <w:pStyle w:val="Normal"/>
              <w:rPr>
                <w:sz w:val="20"/>
              </w:rPr>
            </w:pPr>
            <w:r>
              <w:rPr>
                <w:sz w:val="20"/>
              </w:rPr>
              <w:t>The contingent caption is not included in the risk management system or marked to market</w:t>
            </w:r>
          </w:p>
          <w:p>
            <w:pPr>
              <w:pStyle w:val="Normal"/>
              <w:rPr>
                <w:sz w:val="20"/>
              </w:rPr>
            </w:pPr>
            <w:r>
              <w:rPr>
                <w:sz w:val="20"/>
              </w:rPr>
            </w:r>
          </w:p>
        </w:tc>
        <w:tc>
          <w:tcPr>
            <w:tcW w:w="5310" w:type="dxa"/>
            <w:tcBorders>
              <w:top w:val="single" w:sz="4" w:space="0" w:color="000000"/>
              <w:start w:val="single" w:sz="4" w:space="0" w:color="000000"/>
              <w:end w:val="single" w:sz="4" w:space="0" w:color="000000"/>
            </w:tcBorders>
          </w:tcPr>
          <w:p>
            <w:pPr>
              <w:pStyle w:val="Normal"/>
              <w:rPr>
                <w:sz w:val="20"/>
              </w:rPr>
            </w:pPr>
            <w:r>
              <w:rPr>
                <w:sz w:val="20"/>
              </w:rPr>
              <w:t>All trading positions should be captured in risk books</w:t>
            </w:r>
          </w:p>
        </w:tc>
        <w:tc>
          <w:tcPr>
            <w:tcW w:w="2340" w:type="dxa"/>
            <w:tcBorders>
              <w:top w:val="single" w:sz="4" w:space="0" w:color="000000"/>
              <w:start w:val="single" w:sz="4" w:space="0" w:color="000000"/>
              <w:end w:val="single" w:sz="4" w:space="0" w:color="000000"/>
            </w:tcBorders>
          </w:tcPr>
          <w:p>
            <w:pPr>
              <w:pStyle w:val="Normal"/>
              <w:rPr>
                <w:sz w:val="20"/>
              </w:rPr>
            </w:pPr>
            <w:r>
              <w:rPr>
                <w:sz w:val="20"/>
              </w:rPr>
              <w:t>Immediately</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color w:val="FF0000"/>
                <w:sz w:val="20"/>
              </w:rPr>
            </w:pPr>
            <w:r>
              <w:rPr>
                <w:color w:val="FF0000"/>
                <w:sz w:val="20"/>
              </w:rPr>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FF0000"/>
                <w:sz w:val="20"/>
              </w:rPr>
              <w:t>The caption is not able to be valued by Enpower, but is now revalued daily using a model obtained from Houston Research, and the MTM value is booked daily  from 28/3/00</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 w:val="left" w:pos="1134" w:leader="none"/>
              </w:tabs>
              <w:snapToGrid w:val="false"/>
              <w:rPr>
                <w:sz w:val="20"/>
              </w:rPr>
            </w:pPr>
            <w:r>
              <w:rPr>
                <w:sz w:val="20"/>
              </w:rPr>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SRA’s are not captured in Enpower and are valued in excel pivot tables.  Also, valuation of SRAs have subjective inputs which need to be reassessed on a more active basis</w:t>
            </w:r>
          </w:p>
          <w:p>
            <w:pPr>
              <w:pStyle w:val="Normal"/>
              <w:rPr>
                <w:sz w:val="20"/>
              </w:rPr>
            </w:pPr>
            <w:r>
              <w:rPr>
                <w:sz w:val="20"/>
              </w:rPr>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Integrate SRA’s into EnPower</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rPr>
                <w:sz w:val="20"/>
              </w:rPr>
            </w:pPr>
            <w:r>
              <w:rPr>
                <w:sz w:val="20"/>
              </w:rPr>
              <w:t>June 2000</w:t>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sz w:val="20"/>
              </w:rPr>
            </w:pPr>
            <w:r>
              <w:rPr>
                <w:sz w:val="20"/>
              </w:rPr>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color w:val="FF0000"/>
                <w:sz w:val="20"/>
              </w:rPr>
            </w:pPr>
            <w:r>
              <w:rPr>
                <w:color w:val="FF0000"/>
                <w:sz w:val="20"/>
              </w:rPr>
              <w:t>Work has now commenced to integrate SRA units into Enpower for daily revaluation</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snapToGrid w:val="false"/>
              <w:rPr>
                <w:color w:val="FF0000"/>
                <w:sz w:val="20"/>
              </w:rPr>
            </w:pPr>
            <w:r>
              <w:rPr>
                <w:color w:val="FF0000"/>
                <w:sz w:val="20"/>
              </w:rPr>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F/X, Coal and jet deals along with one PJM deal with ENA are not booked locally but rather on books in other regional books as deals with Enron Australia.  This prevents credit and others from viewing max exposure by counterparty</w:t>
            </w:r>
          </w:p>
          <w:p>
            <w:pPr>
              <w:pStyle w:val="Normal"/>
              <w:rPr>
                <w:sz w:val="20"/>
              </w:rPr>
            </w:pPr>
            <w:r>
              <w:rPr>
                <w:sz w:val="20"/>
              </w:rPr>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0"/>
              </w:rPr>
            </w:pPr>
            <w:r>
              <w:rPr>
                <w:sz w:val="20"/>
              </w:rPr>
              <w:t>Establish Australian books for all commodities/instruments traded to facilitate proper capture and risk management</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rPr>
                <w:sz w:val="20"/>
              </w:rPr>
            </w:pPr>
            <w:r>
              <w:rPr>
                <w:sz w:val="20"/>
              </w:rPr>
              <w:t>April 2000</w:t>
            </w:r>
          </w:p>
        </w:tc>
      </w:tr>
      <w:tr>
        <w:trPr/>
        <w:tc>
          <w:tcPr>
            <w:tcW w:w="52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color w:val="FF0000"/>
                <w:sz w:val="20"/>
              </w:rPr>
            </w:pPr>
            <w:r>
              <w:rPr>
                <w:color w:val="FF0000"/>
                <w:sz w:val="20"/>
              </w:rPr>
              <w:t xml:space="preserve">For coal trading, the net balance receivable will be accrued when the delivery is finalised. </w:t>
            </w:r>
          </w:p>
        </w:tc>
        <w:tc>
          <w:tcPr>
            <w:tcW w:w="53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color w:val="FF0000"/>
                <w:sz w:val="20"/>
              </w:rPr>
            </w:pPr>
            <w:r>
              <w:rPr>
                <w:color w:val="FF0000"/>
                <w:sz w:val="20"/>
              </w:rPr>
              <w:t xml:space="preserve">Effective 31/3/00 the value of the remaining portion of the jet fuel deal will be booked from TAGG into the revaluation accounts. </w:t>
            </w:r>
          </w:p>
          <w:p>
            <w:pPr>
              <w:pStyle w:val="Normal"/>
              <w:rPr>
                <w:color w:val="FF0000"/>
                <w:sz w:val="20"/>
              </w:rPr>
            </w:pPr>
            <w:r>
              <w:rPr>
                <w:color w:val="FF0000"/>
                <w:sz w:val="20"/>
              </w:rPr>
              <w:t>There are no FX deals outstanding, but any entered into going forward will be revalued and booked.</w:t>
            </w:r>
          </w:p>
        </w:tc>
        <w:tc>
          <w:tcPr>
            <w:tcW w:w="234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536"/>
                <w:tab w:val="clear" w:pos="9072"/>
                <w:tab w:val="left" w:pos="1134" w:leader="none"/>
              </w:tabs>
              <w:snapToGrid w:val="false"/>
              <w:rPr>
                <w:color w:val="FF0000"/>
                <w:sz w:val="20"/>
              </w:rPr>
            </w:pPr>
            <w:r>
              <w:rPr>
                <w:color w:val="FF0000"/>
                <w:sz w:val="20"/>
              </w:rPr>
            </w:r>
          </w:p>
        </w:tc>
      </w:tr>
    </w:tbl>
    <w:p>
      <w:pPr>
        <w:pStyle w:val="Normal"/>
        <w:rPr/>
      </w:pPr>
      <w:r>
        <w:rPr/>
      </w:r>
    </w:p>
    <w:sectPr>
      <w:headerReference w:type="default" r:id="rId2"/>
      <w:headerReference w:type="first" r:id="rId3"/>
      <w:footerReference w:type="default" r:id="rId4"/>
      <w:footerReference w:type="first" r:id="rId5"/>
      <w:type w:val="nextPage"/>
      <w:pgSz w:w="15692" w:h="15840"/>
      <w:pgMar w:left="1440" w:right="1440" w:gutter="0" w:header="1191" w:top="2665" w:footer="1383"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sz w:val="16"/>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color w:val="auto"/>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1134"/>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2000-03-29T05:34:00Z</dcterms:created>
  <dc:creator>hmason</dc:creator>
  <dc:description/>
  <dc:language>en-CA</dc:language>
  <cp:lastModifiedBy>Paul Quilkey</cp:lastModifiedBy>
  <dcterms:modified xsi:type="dcterms:W3CDTF">2000-03-29T06:12:00Z</dcterms:modified>
  <cp:revision>3</cp:revision>
  <dc:subject/>
  <dc:title>Items to be addressed</dc:title>
</cp:coreProperties>
</file>