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ATTACHMENT A</w:t>
      </w:r>
    </w:p>
    <w:p>
      <w:pPr>
        <w:pStyle w:val="Normal"/>
        <w:rPr/>
      </w:pPr>
      <w:r>
        <w:rPr/>
      </w:r>
    </w:p>
    <w:p>
      <w:pPr>
        <w:pStyle w:val="Normal"/>
        <w:numPr>
          <w:ilvl w:val="0"/>
          <w:numId w:val="2"/>
        </w:numPr>
        <w:rPr/>
      </w:pPr>
      <w:r>
        <w:rPr/>
        <w:t>The Buyer will be a wholly-owned corporate subsidiary of EOTT Energy Partners, L.P. or of one of its subsidiary operating partnerships.  The Buyer will have the funds needed to close the transaction.</w:t>
      </w:r>
    </w:p>
    <w:p>
      <w:pPr>
        <w:pStyle w:val="Normal"/>
        <w:jc w:val="both"/>
        <w:rPr/>
      </w:pPr>
      <w:r>
        <w:rPr/>
      </w:r>
    </w:p>
    <w:p>
      <w:pPr>
        <w:pStyle w:val="Normal"/>
        <w:numPr>
          <w:ilvl w:val="0"/>
          <w:numId w:val="2"/>
        </w:numPr>
        <w:jc w:val="both"/>
        <w:rPr/>
      </w:pPr>
      <w:r>
        <w:rPr>
          <w:u w:val="single"/>
        </w:rPr>
        <w:t>Employees</w:t>
      </w:r>
      <w:r>
        <w:rPr/>
        <w:t>.  The Buyer’s proposal on employees who perform significant functions relating to the business of APL and the APL Subsidiaries is as follows: At the Closing of the subject transaction, the Buyer shall have the right and option, but not the obligation, to hire some or all of the employees of the Seller and its subsidiaries who are employed in connection with the business of APL and the APL Subsidiaries.  As to any employees hired by the Buyer at Closing as set forth above, the Buyer will relieve the Seller of any further obligations, if any, with respect to these employees (except for claims accruing prior to Closing in favor of any such employee).  All obligations, including severance, in respect of any employee of the Seller or its subsidiaries not employed by the Buyer at Closing would remain the responsibility of the Seller.  The Buyer would attempt to give credit for prior service for eligibility and vesting (but not for benefit accrual) to all the Seller employees hired by the Buyer.  In connection with the foregoing, the Buyer would be permitted to interview such employees of the Seller as the Buyer may desire, with the Buyer coordinating with the Human Resources Department of the Seller in this regard to ensure a non-disruptive process.  The Buyer needs a representation to the effect that neither APL nor any APL Subsidiary sponsors any employee benefit plan.  The Buyer will be willing to provide reasonable transition services for the Seller for a limited period of time, subject to the agreement by the Seller to indemnify the Buyer except for the Buyer’s gross negligence or willful misconduct.</w:t>
      </w:r>
    </w:p>
    <w:p>
      <w:pPr>
        <w:pStyle w:val="Normal"/>
        <w:jc w:val="both"/>
        <w:rPr/>
      </w:pPr>
      <w:r>
        <w:rPr/>
      </w:r>
    </w:p>
    <w:p>
      <w:pPr>
        <w:pStyle w:val="Normal"/>
        <w:numPr>
          <w:ilvl w:val="0"/>
          <w:numId w:val="2"/>
        </w:numPr>
        <w:jc w:val="both"/>
        <w:rPr/>
      </w:pPr>
      <w:r>
        <w:rPr>
          <w:u w:val="single"/>
        </w:rPr>
        <w:t>Environmental Liabilities.</w:t>
      </w:r>
      <w:r>
        <w:rPr/>
        <w:t xml:space="preserve">  Environmental responsibilities as to the assets of APL and the APL Subsidiaries will be apportioned at Closing on an “our watch/your watch” basis, with the Seller retaining responsibility, as between the Seller and the Buyer, for all environmental matters, claims and actions arising before Closing or for a specified period of time following the date of Closing </w:t>
      </w:r>
      <w:r>
        <w:rPr>
          <w:u w:val="none"/>
        </w:rPr>
        <w:t>and</w:t>
      </w:r>
      <w:r>
        <w:rPr/>
        <w:t xml:space="preserve"> stemming from events or circumstances existing prior to the time of Closing, and with the Buyer assuming, at Closing, as between the Seller and the Buyer, all other environmental responsibilities or liabilities which may in any way or at any time be associated with all or any portion of the Assets; provided, however, that under no circumstances shall either party be deemed to have assumed any responsibility whatsoever for any fines or criminal sanctions which may, at any time, be assessed or levied against the other party due to the misconduct of such other party; provided further that for such purposes no conduct of APL or any APL subsidiary prior to the Closing will be attributable to the Buyer, and no such conduct following the Closing will be attributable to the Seller.  See the discussion below regarding Article 9 of the draft agreement.  The environmental deductible shall include only actual environmental costs, expenses, payments, judgments or other liabilities incurred by the Buyer for any environmental matters, claims and actions which stem from events or circumstances existing  prior to the time of Closing.  In connection with the preceding sentence, it is understood and agreed that the Seller and the Buyer shall, as part of the definitive stock purchase agreement, give appropriate indemnities to one another to cover their respective environmental obligations.  Prior to the commencement of remediation or the payment of any costs and expenses for which the Seller would be responsible as set forth herein, the Buyer will notify the Seller in writing of such matter, claim or action which would give rise to the Seller’s liability.  The Buyer’s ability to receive such indemnification shall be subject to the claim being a good faith claim and not merely the Buyer’s desire to eliminate all environmental conditions or matters existing with respect to the Assets.  In connection with any environmental obligations which the Buyer may have to the Seller hereunder, the Seller will agree to a statement effectuating the inverse of the preceding two sentences.  The Buyer will not be responsible for any claims or liabilities arising from any post-Closing actions by Seller on any of the assets covered by the proposed transaction, and the Seller will agree to indemnify the Buyer with respect to such claims or liabilities.</w:t>
      </w:r>
    </w:p>
    <w:p>
      <w:pPr>
        <w:pStyle w:val="Normal"/>
        <w:ind w:start="720" w:end="0"/>
        <w:jc w:val="both"/>
        <w:rPr/>
      </w:pPr>
      <w:r>
        <w:rPr/>
      </w:r>
    </w:p>
    <w:p>
      <w:pPr>
        <w:pStyle w:val="Normal"/>
        <w:numPr>
          <w:ilvl w:val="0"/>
          <w:numId w:val="2"/>
        </w:numPr>
        <w:jc w:val="both"/>
        <w:rPr/>
      </w:pPr>
      <w:r>
        <w:rPr>
          <w:u w:val="single"/>
        </w:rPr>
        <w:t>Environmental Survey</w:t>
      </w:r>
      <w:r>
        <w:rPr/>
        <w:t xml:space="preserve">. The Buyer will have the right to perform, at its own risk and expense, a phase one environmental survey/review of the assets of APL and the APL Subsidiaries, provided that the Buyer is able to complete such study by March 15, 2000.  In no case shall the Buyer be allowed to conduct a phase 2 environmental study prior to Closing; provided, however, notwithstanding the foregoing prohibition, that the Buyer shall be free to conduct the Phase One testing which is provided for herein and does not disrupt the Seller’s operations, and provided further that pursuant to the confidentiality agreement heretofore executed by the Seller and Enron, the Buyer will be free to review the Seller’s environmental information on the Assets. </w:t>
      </w:r>
    </w:p>
    <w:p>
      <w:pPr>
        <w:pStyle w:val="Normal"/>
        <w:ind w:start="720" w:end="0"/>
        <w:jc w:val="both"/>
        <w:rPr/>
      </w:pPr>
      <w:r>
        <w:rPr/>
        <w:t xml:space="preserve">  </w:t>
      </w:r>
    </w:p>
    <w:p>
      <w:pPr>
        <w:pStyle w:val="Normal"/>
        <w:numPr>
          <w:ilvl w:val="0"/>
          <w:numId w:val="2"/>
        </w:numPr>
        <w:rPr/>
      </w:pPr>
      <w:r>
        <w:rPr/>
        <w:t xml:space="preserve">Pages 3-4 – </w:t>
      </w:r>
      <w:r>
        <w:rPr>
          <w:u w:val="single"/>
        </w:rPr>
        <w:t>Environmental Losses</w:t>
      </w:r>
      <w:r>
        <w:rPr/>
        <w:t>.  This definition needs to be expanded to include toxic torts and other claims for personal injury and property damage created by spills, releases and noncompliance with environmental laws, regulations and permits.</w:t>
      </w:r>
    </w:p>
    <w:p>
      <w:pPr>
        <w:pStyle w:val="Normal"/>
        <w:ind w:start="720" w:end="0"/>
        <w:rPr/>
      </w:pPr>
      <w:r>
        <w:rPr/>
      </w:r>
    </w:p>
    <w:p>
      <w:pPr>
        <w:pStyle w:val="Normal"/>
        <w:numPr>
          <w:ilvl w:val="0"/>
          <w:numId w:val="2"/>
        </w:numPr>
        <w:rPr/>
      </w:pPr>
      <w:r>
        <w:rPr/>
        <w:t xml:space="preserve">Page 4 – </w:t>
      </w:r>
      <w:r>
        <w:rPr>
          <w:u w:val="single"/>
        </w:rPr>
        <w:t>Excluded Liabilities</w:t>
      </w:r>
      <w:r>
        <w:rPr/>
        <w:t>.  This definition needs to include Liabilities relating to operations as well as assets, and it should include Liabilities relating to all operations and assets no longer owned or conducted prior to the Closing by APL or any APL Subsidiary, whether or not those assets and operations are within the definition of APL’s Business.   It should also include any Liabilities relating to claims or litigation, whether existing or future, arising out of events that occurred prior to the Closing.  Thus, the Seller should retain liability for existing litigation.</w:t>
      </w:r>
    </w:p>
    <w:p>
      <w:pPr>
        <w:pStyle w:val="Normal"/>
        <w:ind w:start="720" w:end="0"/>
        <w:rPr/>
      </w:pPr>
      <w:r>
        <w:rPr/>
      </w:r>
    </w:p>
    <w:p>
      <w:pPr>
        <w:pStyle w:val="Normal"/>
        <w:numPr>
          <w:ilvl w:val="0"/>
          <w:numId w:val="2"/>
        </w:numPr>
        <w:rPr/>
      </w:pPr>
      <w:r>
        <w:rPr/>
        <w:t xml:space="preserve">Page 5 - The </w:t>
      </w:r>
      <w:r>
        <w:rPr>
          <w:u w:val="single"/>
        </w:rPr>
        <w:t>Material Adverse Effect</w:t>
      </w:r>
      <w:r>
        <w:rPr/>
        <w:t xml:space="preserve"> definition in effect places on the Buyer risks that typically fall on the Seller.  These include “any continuation of an adverse trend or condition disclosed to or otherwise known to Buyer” and the obligations of Buyer pursuant to Section 6.13 (divestiture), discussed below.  The Buyer is willing to take the risks enumerated in (i), (ii) and (v) and may, subject to due diligence, be willing to take the risks of changes in rates or tariffs.  The Buyer cannot at this time evaluate whether it is willing to take the risks relating to any adverse trend or condition without having seen a Disclosure Schedule showing adverse trends and conditions.  Seller should be required to disclose any adverse trend, as well as any adverse condition, in the Disclosure Schedule.  At this point Buyer is unwilling to take the risk that a divestiture under Section 6.13 would have a material adverse effect on the remaining businesses,  would have an adverse tax impact on APL or the APL Subsidiaries or would have some other adverse impact, although after due diligence the Buyer may be able to conclude that there is no such risk or there is an acceptable level of risk.  </w:t>
      </w:r>
    </w:p>
    <w:p>
      <w:pPr>
        <w:pStyle w:val="Normal"/>
        <w:ind w:start="720" w:end="0"/>
        <w:rPr/>
      </w:pPr>
      <w:r>
        <w:rPr/>
      </w:r>
    </w:p>
    <w:p>
      <w:pPr>
        <w:pStyle w:val="Normal"/>
        <w:numPr>
          <w:ilvl w:val="0"/>
          <w:numId w:val="2"/>
        </w:numPr>
        <w:rPr/>
      </w:pPr>
      <w:r>
        <w:rPr/>
        <w:t xml:space="preserve">Page 7 - </w:t>
      </w:r>
      <w:r>
        <w:rPr>
          <w:u w:val="single"/>
        </w:rPr>
        <w:t>Recent Date Balance Sheet</w:t>
      </w:r>
      <w:r>
        <w:rPr/>
        <w:t xml:space="preserve"> and </w:t>
      </w:r>
      <w:r>
        <w:rPr>
          <w:u w:val="single"/>
        </w:rPr>
        <w:t>Recent Date Stockholder’s Equity</w:t>
      </w:r>
      <w:r>
        <w:rPr/>
        <w:t xml:space="preserve">; Page 2 – </w:t>
      </w:r>
      <w:r>
        <w:rPr>
          <w:u w:val="single"/>
        </w:rPr>
        <w:t>Audited Financial Statements</w:t>
      </w:r>
      <w:r>
        <w:rPr/>
        <w:t xml:space="preserve">;  Page 3 – </w:t>
      </w:r>
      <w:r>
        <w:rPr>
          <w:u w:val="single"/>
        </w:rPr>
        <w:t>Closing Date Balance Sheet</w:t>
      </w:r>
      <w:r>
        <w:rPr/>
        <w:t xml:space="preserve"> and </w:t>
      </w:r>
      <w:r>
        <w:rPr>
          <w:u w:val="single"/>
        </w:rPr>
        <w:t>Closing Date Stockholder’s Equity</w:t>
      </w:r>
      <w:r>
        <w:rPr/>
        <w:t xml:space="preserve">; Pages 9-10 – </w:t>
      </w:r>
      <w:r>
        <w:rPr>
          <w:u w:val="single"/>
        </w:rPr>
        <w:t>Section 2.3</w:t>
      </w:r>
      <w:r>
        <w:rPr/>
        <w:t xml:space="preserve"> </w:t>
      </w:r>
      <w:r>
        <w:rPr>
          <w:u w:val="single"/>
        </w:rPr>
        <w:t>Post-Closing Adjustment</w:t>
      </w:r>
      <w:r>
        <w:rPr/>
        <w:t xml:space="preserve">; and Page 26 – </w:t>
      </w:r>
      <w:r>
        <w:rPr>
          <w:u w:val="single"/>
        </w:rPr>
        <w:t>Section 6.15</w:t>
      </w:r>
      <w:r>
        <w:rPr/>
        <w:t xml:space="preserve"> </w:t>
      </w:r>
      <w:r>
        <w:rPr>
          <w:u w:val="single"/>
        </w:rPr>
        <w:t>Audited Financial Statements</w:t>
      </w:r>
      <w:r>
        <w:rPr/>
        <w:t>.  These provisions provide for a post-Closing settlement payment based on the difference between the Closing Date Stockholder’s Equity and the Recent Date Stockholder’s Equity.  But the agreement does not permit the bidder to see the Recent Date Stockholder’s Equity before agreeing to the purchase price.  The base amount of stockholder’s equity off of which the adjustment is made should be an amount that is disclosed to the Buyer prior to the signing of the definitive stock purchase agreement.</w:t>
      </w:r>
    </w:p>
    <w:p>
      <w:pPr>
        <w:pStyle w:val="Normal"/>
        <w:rPr/>
      </w:pPr>
      <w:r>
        <w:rPr/>
      </w:r>
    </w:p>
    <w:p>
      <w:pPr>
        <w:pStyle w:val="Normal"/>
        <w:numPr>
          <w:ilvl w:val="0"/>
          <w:numId w:val="2"/>
        </w:numPr>
        <w:rPr/>
      </w:pPr>
      <w:r>
        <w:rPr/>
        <w:t xml:space="preserve">Page 9 – </w:t>
      </w:r>
      <w:r>
        <w:rPr>
          <w:u w:val="single"/>
        </w:rPr>
        <w:t>Section 2.3</w:t>
      </w:r>
      <w:r>
        <w:rPr/>
        <w:t xml:space="preserve"> </w:t>
      </w:r>
      <w:r>
        <w:rPr>
          <w:u w:val="single"/>
        </w:rPr>
        <w:t>Post-Closing Adjustment</w:t>
      </w:r>
      <w:r>
        <w:rPr/>
        <w:t>.   The Buyer should prepare the Closing Date Balance Sheet.</w:t>
      </w:r>
    </w:p>
    <w:p>
      <w:pPr>
        <w:pStyle w:val="Normal"/>
        <w:rPr/>
      </w:pPr>
      <w:r>
        <w:rPr/>
      </w:r>
    </w:p>
    <w:p>
      <w:pPr>
        <w:pStyle w:val="Normal"/>
        <w:numPr>
          <w:ilvl w:val="0"/>
          <w:numId w:val="2"/>
        </w:numPr>
        <w:rPr/>
      </w:pPr>
      <w:r>
        <w:rPr/>
        <w:t xml:space="preserve">Page 13 – </w:t>
      </w:r>
      <w:r>
        <w:rPr>
          <w:u w:val="single"/>
        </w:rPr>
        <w:t>Section 4.5</w:t>
      </w:r>
      <w:r>
        <w:rPr/>
        <w:t xml:space="preserve"> </w:t>
      </w:r>
      <w:r>
        <w:rPr>
          <w:u w:val="single"/>
        </w:rPr>
        <w:t>No Violations</w:t>
      </w:r>
      <w:r>
        <w:rPr/>
        <w:t xml:space="preserve">.  There should be a  representation that the sale of the APL stock will not trigger any rights of first refusal except as disclosed in the Disclosure Schedule.  Section 4.6 simply says there are no consents required.  </w:t>
      </w:r>
    </w:p>
    <w:p>
      <w:pPr>
        <w:pStyle w:val="Normal"/>
        <w:rPr/>
      </w:pPr>
      <w:r>
        <w:rPr/>
      </w:r>
    </w:p>
    <w:p>
      <w:pPr>
        <w:pStyle w:val="Normal"/>
        <w:numPr>
          <w:ilvl w:val="0"/>
          <w:numId w:val="2"/>
        </w:numPr>
        <w:rPr/>
      </w:pPr>
      <w:r>
        <w:rPr/>
        <w:t xml:space="preserve">Page 14 – </w:t>
      </w:r>
      <w:r>
        <w:rPr>
          <w:u w:val="single"/>
        </w:rPr>
        <w:t>Section 4.10</w:t>
      </w:r>
      <w:r>
        <w:rPr/>
        <w:t xml:space="preserve"> </w:t>
      </w:r>
      <w:r>
        <w:rPr>
          <w:u w:val="single"/>
        </w:rPr>
        <w:t>Absence of Undisclosed Liabilities</w:t>
      </w:r>
      <w:r>
        <w:rPr/>
        <w:t>.  The representation regarding the absence of undisclosed liabilities is qualified “to Seller’s Knowledge” and only relates to the 12/31/99 balance sheet.   If a significant liability or contingent liability arises or is discovered prior to the Closing date, the Buyer should not be required to close unless it is fully indemnified.   The representation regarding absence of pending claims should also include a representation that, to Seller’s knowledge, except as disclosed in the Disclosure Schedule there are no pending claims or threats of claims (written or oral) that if adversely determined would have a Material Adverse Effect.</w:t>
      </w:r>
    </w:p>
    <w:p>
      <w:pPr>
        <w:pStyle w:val="Normal"/>
        <w:rPr/>
      </w:pPr>
      <w:r>
        <w:rPr/>
      </w:r>
    </w:p>
    <w:p>
      <w:pPr>
        <w:pStyle w:val="Normal"/>
        <w:numPr>
          <w:ilvl w:val="0"/>
          <w:numId w:val="2"/>
        </w:numPr>
        <w:rPr/>
      </w:pPr>
      <w:r>
        <w:rPr/>
        <w:t xml:space="preserve">Pages 14 and 15 – </w:t>
      </w:r>
      <w:r>
        <w:rPr>
          <w:u w:val="single"/>
        </w:rPr>
        <w:t>Section 4.11</w:t>
      </w:r>
      <w:r>
        <w:rPr/>
        <w:t xml:space="preserve"> </w:t>
      </w:r>
      <w:r>
        <w:rPr>
          <w:u w:val="single"/>
        </w:rPr>
        <w:t>No Material Change</w:t>
      </w:r>
      <w:r>
        <w:rPr/>
        <w:t>.  This representation should also cover events that, in the aggregate, have a Material Adverse Effect.  The representations regarding conduct of business should cover not only action taken but also the failure to take action.</w:t>
      </w:r>
    </w:p>
    <w:p>
      <w:pPr>
        <w:pStyle w:val="Normal"/>
        <w:rPr/>
      </w:pPr>
      <w:r>
        <w:rPr/>
      </w:r>
    </w:p>
    <w:p>
      <w:pPr>
        <w:pStyle w:val="Normal"/>
        <w:numPr>
          <w:ilvl w:val="0"/>
          <w:numId w:val="2"/>
        </w:numPr>
        <w:rPr/>
      </w:pPr>
      <w:r>
        <w:rPr/>
        <w:t xml:space="preserve">Pages 15-16 – </w:t>
      </w:r>
      <w:r>
        <w:rPr>
          <w:u w:val="single"/>
        </w:rPr>
        <w:t>Section 4.13</w:t>
      </w:r>
      <w:r>
        <w:rPr/>
        <w:t xml:space="preserve"> </w:t>
      </w:r>
      <w:r>
        <w:rPr>
          <w:u w:val="single"/>
        </w:rPr>
        <w:t>Material Contracts</w:t>
      </w:r>
      <w:r>
        <w:rPr/>
        <w:t>.  The draft lists contracts that constitute material contracts for purposes of the agreement, but it does not say that the listed contracts are the only ones that are material.  The Seller should disclose all contracts that a reasonable purchaser would consider important in making an investment decision, including any contracts that individually or in the aggregate could be expected to have a Material Adverse Effect.  Moreover, the Seller should disclose all contracts with affiliates, whether or not material.</w:t>
      </w:r>
    </w:p>
    <w:p>
      <w:pPr>
        <w:pStyle w:val="Normal"/>
        <w:rPr/>
      </w:pPr>
      <w:r>
        <w:rPr/>
      </w:r>
    </w:p>
    <w:p>
      <w:pPr>
        <w:pStyle w:val="Normal"/>
        <w:numPr>
          <w:ilvl w:val="0"/>
          <w:numId w:val="2"/>
        </w:numPr>
        <w:rPr/>
      </w:pPr>
      <w:r>
        <w:rPr/>
        <w:t xml:space="preserve">Page 17 – </w:t>
      </w:r>
      <w:r>
        <w:rPr>
          <w:u w:val="single"/>
        </w:rPr>
        <w:t>Section 4.16</w:t>
      </w:r>
      <w:r>
        <w:rPr/>
        <w:t xml:space="preserve"> </w:t>
      </w:r>
      <w:r>
        <w:rPr>
          <w:u w:val="single"/>
        </w:rPr>
        <w:t>Real Property.</w:t>
      </w:r>
      <w:r>
        <w:rPr/>
        <w:t xml:space="preserve">  In Section (a) there should be a  representation that the items covered constitute all material items of that nature.  Section (b) contains representations regarding certain listed leases, easements, etc., and there should be a representation that the list contains all material leases, easements, etc.  There should be a representation that the Seller has not to its knowledge granted any onerous or disruptive right-of-ways over the subject assets.  The Seller should also represent that APL and the APL Subsidiaries have and will have all material licenses, rights-of-way, easements and personal property needed to own and operate the assets as they are now owned and operated and that Seller is aware of no gaps in title or other defects or upcoming expirations of licenses or rights that could reasonably be expected to result in a Material Adverse Effect.  The Seller should disclose all items that a reasonable purchaser would consider important in making an investment decision.</w:t>
      </w:r>
    </w:p>
    <w:p>
      <w:pPr>
        <w:pStyle w:val="Normal"/>
        <w:rPr/>
      </w:pPr>
      <w:r>
        <w:rPr/>
      </w:r>
    </w:p>
    <w:p>
      <w:pPr>
        <w:pStyle w:val="Normal"/>
        <w:numPr>
          <w:ilvl w:val="0"/>
          <w:numId w:val="2"/>
        </w:numPr>
        <w:rPr/>
      </w:pPr>
      <w:r>
        <w:rPr/>
        <w:t>The Seller should represent that APL and the APL Subsidiaries have and will have all rights, assets and properties (including rights of way) necessary for the conduct of the businesses of APL and the APL Subsidiaries as such businesses are now being conducted, and Seller should agree not to permit APL or the APL Subsidiaries to take any action prior to Closing that would have a Material Adverse Effect.  The businesses to be disposed of do not have to be covered by these representations and covenants.</w:t>
      </w:r>
    </w:p>
    <w:p>
      <w:pPr>
        <w:pStyle w:val="Normal"/>
        <w:rPr/>
      </w:pPr>
      <w:r>
        <w:rPr/>
      </w:r>
    </w:p>
    <w:p>
      <w:pPr>
        <w:pStyle w:val="Normal"/>
        <w:numPr>
          <w:ilvl w:val="0"/>
          <w:numId w:val="2"/>
        </w:numPr>
        <w:rPr/>
      </w:pPr>
      <w:r>
        <w:rPr/>
        <w:t xml:space="preserve">Page 17 – </w:t>
      </w:r>
      <w:r>
        <w:rPr>
          <w:u w:val="single"/>
        </w:rPr>
        <w:t>Section 4.18</w:t>
      </w:r>
      <w:r>
        <w:rPr/>
        <w:t xml:space="preserve"> </w:t>
      </w:r>
      <w:r>
        <w:rPr>
          <w:u w:val="single"/>
        </w:rPr>
        <w:t>Insurance Policies</w:t>
      </w:r>
      <w:r>
        <w:rPr/>
        <w:t>.  The Buyer needs assurance that there are no residual premium payments that APL would be responsible for under insurance policies covering the pre-Closing period, except to the extent that the payables are reflected in the balance sheets used for the post-Closing purchase price adjustment.  The Seller should remain responsible for all claims relating to occurrences prior to the Closing</w:t>
      </w:r>
    </w:p>
    <w:p>
      <w:pPr>
        <w:pStyle w:val="Normal"/>
        <w:rPr/>
      </w:pPr>
      <w:r>
        <w:rPr/>
      </w:r>
    </w:p>
    <w:p>
      <w:pPr>
        <w:pStyle w:val="Normal"/>
        <w:numPr>
          <w:ilvl w:val="0"/>
          <w:numId w:val="2"/>
        </w:numPr>
        <w:rPr/>
      </w:pPr>
      <w:r>
        <w:rPr/>
        <w:t>There are several places in the representations where the Seller represents that an item individually does not have a Material Adverse Effect but there is no representation regarding the aggregate effect of such items.  The representations should cover the materiality of the items in the aggregate as well.</w:t>
      </w:r>
    </w:p>
    <w:p>
      <w:pPr>
        <w:pStyle w:val="Normal"/>
        <w:rPr/>
      </w:pPr>
      <w:r>
        <w:rPr/>
      </w:r>
    </w:p>
    <w:p>
      <w:pPr>
        <w:pStyle w:val="Normal"/>
        <w:numPr>
          <w:ilvl w:val="0"/>
          <w:numId w:val="2"/>
        </w:numPr>
        <w:rPr/>
      </w:pPr>
      <w:r>
        <w:rPr/>
        <w:t xml:space="preserve">Page 17 – </w:t>
      </w:r>
      <w:r>
        <w:rPr>
          <w:u w:val="single"/>
        </w:rPr>
        <w:t>Section 4.19</w:t>
      </w:r>
      <w:r>
        <w:rPr/>
        <w:t xml:space="preserve"> </w:t>
      </w:r>
      <w:r>
        <w:rPr>
          <w:u w:val="single"/>
        </w:rPr>
        <w:t>Legal Proceedings</w:t>
      </w:r>
      <w:r>
        <w:rPr/>
        <w:t>.  The representation should cover litigation threatened orally as well as in writing.</w:t>
      </w:r>
    </w:p>
    <w:p>
      <w:pPr>
        <w:pStyle w:val="Normal"/>
        <w:rPr/>
      </w:pPr>
      <w:r>
        <w:rPr/>
      </w:r>
    </w:p>
    <w:p>
      <w:pPr>
        <w:pStyle w:val="Normal"/>
        <w:numPr>
          <w:ilvl w:val="0"/>
          <w:numId w:val="2"/>
        </w:numPr>
        <w:rPr/>
      </w:pPr>
      <w:r>
        <w:rPr/>
        <w:t xml:space="preserve">Page 18 – </w:t>
      </w:r>
      <w:r>
        <w:rPr>
          <w:u w:val="single"/>
        </w:rPr>
        <w:t>Section 4.20</w:t>
      </w:r>
      <w:r>
        <w:rPr/>
        <w:t xml:space="preserve"> </w:t>
      </w:r>
      <w:r>
        <w:rPr>
          <w:u w:val="single"/>
        </w:rPr>
        <w:t>Compliance with Laws</w:t>
      </w:r>
      <w:r>
        <w:rPr/>
        <w:t xml:space="preserve">.  There is no representation in this section regarding violations of law relating to businesses to be spun out of APL and the APL Subsidiaries prior to the acquisition or businesses conducted in the past by APL and the APL Subsidiaries but discontinued.  The Buyer needs to make sure that it is adequately covered by an indemnity with respect to all liabilities associated with those assets and businesses.  See item 2 above.  The indemnity should survive indefinitely.  There are various other representations (e.g. Section 4.21) that relate to APL’s Business, as defined.   However, the Seller needs to represent to the Buyer that there have been no criminal violations with respect to the assets or operations that have been discontinued or transferred prior to the Closing or, alternatively, to disclose any such violations that are material.  Those assets and operations do not fall within the definition of APL’s Business.  Also, the representation regarding operation of the business in compliance with law should cover past as well as current operations.  </w:t>
      </w:r>
    </w:p>
    <w:p>
      <w:pPr>
        <w:pStyle w:val="Normal"/>
        <w:rPr/>
      </w:pPr>
      <w:r>
        <w:rPr/>
      </w:r>
    </w:p>
    <w:p>
      <w:pPr>
        <w:pStyle w:val="Normal"/>
        <w:numPr>
          <w:ilvl w:val="0"/>
          <w:numId w:val="2"/>
        </w:numPr>
        <w:rPr/>
      </w:pPr>
      <w:r>
        <w:rPr/>
        <w:t xml:space="preserve">Page 18 – </w:t>
      </w:r>
      <w:r>
        <w:rPr>
          <w:u w:val="single"/>
        </w:rPr>
        <w:t>Section 4.21</w:t>
      </w:r>
      <w:r>
        <w:rPr/>
        <w:t xml:space="preserve"> </w:t>
      </w:r>
      <w:r>
        <w:rPr>
          <w:u w:val="single"/>
        </w:rPr>
        <w:t>Environmental Matters</w:t>
      </w:r>
      <w:r>
        <w:rPr/>
        <w:t>.  The environmental representations in Section 4.21 should cover past as well as current operations.</w:t>
      </w:r>
    </w:p>
    <w:p>
      <w:pPr>
        <w:pStyle w:val="Header"/>
        <w:tabs>
          <w:tab w:val="clear" w:pos="4320"/>
          <w:tab w:val="clear" w:pos="8640"/>
        </w:tabs>
        <w:rPr/>
      </w:pPr>
      <w:r>
        <w:rPr/>
      </w:r>
    </w:p>
    <w:p>
      <w:pPr>
        <w:pStyle w:val="Normal"/>
        <w:numPr>
          <w:ilvl w:val="0"/>
          <w:numId w:val="2"/>
        </w:numPr>
        <w:rPr/>
      </w:pPr>
      <w:r>
        <w:rPr/>
        <w:t xml:space="preserve">Page 19 – </w:t>
      </w:r>
      <w:r>
        <w:rPr>
          <w:u w:val="single"/>
        </w:rPr>
        <w:t>Section 4.24</w:t>
      </w:r>
      <w:r>
        <w:rPr/>
        <w:t xml:space="preserve"> </w:t>
      </w:r>
      <w:r>
        <w:rPr>
          <w:u w:val="single"/>
        </w:rPr>
        <w:t>Disclaimer of Certain Representations and Warranties</w:t>
      </w:r>
      <w:r>
        <w:rPr/>
        <w:t xml:space="preserve">.  There are no representations regarding the operating condition of the pipelines, and indeed there is an explicit disclaimer thereof in this section.  The Seller should at least represent to the Buyer that there are no material defects, latent or other,  or hidden safety hazards known to the Seller except as disclosed in the Disclosure Schedule.  There is also a disclaimer of any representations regarding the use of any party’s patent or other proprietary rights.   The Seller should at least represent  to the Buyer that there are no material infringements known to the Seller except as disclosed in the Disclosure Schedule.  </w:t>
      </w:r>
    </w:p>
    <w:p>
      <w:pPr>
        <w:pStyle w:val="Normal"/>
        <w:rPr/>
      </w:pPr>
      <w:r>
        <w:rPr/>
      </w:r>
    </w:p>
    <w:p>
      <w:pPr>
        <w:pStyle w:val="Normal"/>
        <w:numPr>
          <w:ilvl w:val="0"/>
          <w:numId w:val="2"/>
        </w:numPr>
        <w:rPr/>
      </w:pPr>
      <w:r>
        <w:rPr/>
        <w:t xml:space="preserve">Page 21 – </w:t>
      </w:r>
      <w:r>
        <w:rPr>
          <w:u w:val="single"/>
        </w:rPr>
        <w:t>Section 5.8</w:t>
      </w:r>
      <w:r>
        <w:rPr/>
        <w:t xml:space="preserve"> </w:t>
      </w:r>
      <w:r>
        <w:rPr>
          <w:u w:val="single"/>
        </w:rPr>
        <w:t>Buyer’s Inquiry</w:t>
      </w:r>
      <w:r>
        <w:rPr/>
        <w:t>. The Buyer may be able to represent that to its knowledge Seller has given Buyer reasonable access, but only Seller is in a position to know whether in fact it has given Buyer reasonable access. The Seller asks the Buyer to represent that it has not relied on anything the Seller has told the Buyer.  This is contrary to the notion that securities are being sold in a private placement, because in such case the Seller has the obligation to disclose all material facts, and if it does not it is liable under the securities laws.  Admittedly these limitations in the agreement are limits on claims under the contract, but the Buyer should not be required to represent, in effect, that even though it had the opportunity to ask questions it did not rely on the answer to any of them.  The Seller itself may have an interest in eliminating these provisions insofar as they indicate that Seller may not have effected a valid private placement.</w:t>
      </w:r>
    </w:p>
    <w:p>
      <w:pPr>
        <w:pStyle w:val="Normal"/>
        <w:rPr/>
      </w:pPr>
      <w:r>
        <w:rPr/>
      </w:r>
    </w:p>
    <w:p>
      <w:pPr>
        <w:pStyle w:val="Normal"/>
        <w:numPr>
          <w:ilvl w:val="0"/>
          <w:numId w:val="2"/>
        </w:numPr>
        <w:rPr/>
      </w:pPr>
      <w:r>
        <w:rPr/>
        <w:t xml:space="preserve">Page 21 – </w:t>
      </w:r>
      <w:r>
        <w:rPr>
          <w:u w:val="single"/>
        </w:rPr>
        <w:t>Section 6.1</w:t>
      </w:r>
      <w:r>
        <w:rPr/>
        <w:t xml:space="preserve"> </w:t>
      </w:r>
      <w:r>
        <w:rPr>
          <w:u w:val="single"/>
        </w:rPr>
        <w:t>Access to Information</w:t>
      </w:r>
      <w:r>
        <w:rPr/>
        <w:t>.  The Buyer is not in a position at this time to evaluate the significance of the carve-out in Section 6.1(a)(i).  One would think that information that, if disclosed, would compromise APL’s ability to compete would be highly material to an evaluation of the business, and the Seller should disclose all material facts.  Perhaps this is a matter that needs further discussion and refinement.  Also, the records retention provisions of Section 6.1(b) may merit further discussion, although the Buyer does not object to reasonable records retention commitments.</w:t>
      </w:r>
    </w:p>
    <w:p>
      <w:pPr>
        <w:pStyle w:val="Normal"/>
        <w:rPr/>
      </w:pPr>
      <w:r>
        <w:rPr/>
      </w:r>
    </w:p>
    <w:p>
      <w:pPr>
        <w:pStyle w:val="Normal"/>
        <w:numPr>
          <w:ilvl w:val="0"/>
          <w:numId w:val="2"/>
        </w:numPr>
        <w:rPr/>
      </w:pPr>
      <w:r>
        <w:rPr/>
        <w:t xml:space="preserve">Pages 22 through 24 – </w:t>
      </w:r>
      <w:r>
        <w:rPr>
          <w:u w:val="single"/>
        </w:rPr>
        <w:t>Section 6.2</w:t>
      </w:r>
      <w:r>
        <w:rPr/>
        <w:t xml:space="preserve"> </w:t>
      </w:r>
      <w:r>
        <w:rPr>
          <w:u w:val="single"/>
        </w:rPr>
        <w:t>Conduct of the Business Pending the Closing</w:t>
      </w:r>
      <w:r>
        <w:rPr/>
        <w:t>.  There are places in the representations where the Seller agrees to continue to conduct its business or take or refrain from taking action “consistent with past practice.”  The Buyer needs to find out what those past practices are in order to evaluate whether these provisions are acceptable.  The triggers in Section 6.2(b)(vi) should be $1 million individually or $10 million in the aggregate.</w:t>
      </w:r>
    </w:p>
    <w:p>
      <w:pPr>
        <w:pStyle w:val="Normal"/>
        <w:rPr/>
      </w:pPr>
      <w:r>
        <w:rPr/>
      </w:r>
    </w:p>
    <w:p>
      <w:pPr>
        <w:pStyle w:val="Normal"/>
        <w:numPr>
          <w:ilvl w:val="0"/>
          <w:numId w:val="2"/>
        </w:numPr>
        <w:rPr/>
      </w:pPr>
      <w:r>
        <w:rPr/>
        <w:t xml:space="preserve">Page 24 – </w:t>
      </w:r>
      <w:r>
        <w:rPr>
          <w:u w:val="single"/>
        </w:rPr>
        <w:t>Section 6.3</w:t>
      </w:r>
      <w:r>
        <w:rPr/>
        <w:t xml:space="preserve"> </w:t>
      </w:r>
      <w:r>
        <w:rPr>
          <w:u w:val="single"/>
        </w:rPr>
        <w:t>Notification</w:t>
      </w:r>
      <w:r>
        <w:rPr/>
        <w:t>.  Each party should also be obligated to notify the other of its own breaches.</w:t>
      </w:r>
    </w:p>
    <w:p>
      <w:pPr>
        <w:pStyle w:val="Normal"/>
        <w:rPr/>
      </w:pPr>
      <w:r>
        <w:rPr/>
      </w:r>
    </w:p>
    <w:p>
      <w:pPr>
        <w:pStyle w:val="Normal"/>
        <w:numPr>
          <w:ilvl w:val="0"/>
          <w:numId w:val="2"/>
        </w:numPr>
        <w:rPr/>
      </w:pPr>
      <w:r>
        <w:rPr/>
        <w:t xml:space="preserve">Page 24 - </w:t>
      </w:r>
      <w:r>
        <w:rPr>
          <w:u w:val="single"/>
        </w:rPr>
        <w:t>Section 6.8</w:t>
      </w:r>
      <w:r>
        <w:rPr/>
        <w:t xml:space="preserve"> </w:t>
      </w:r>
      <w:r>
        <w:rPr>
          <w:u w:val="single"/>
        </w:rPr>
        <w:t>Surety Bonds</w:t>
      </w:r>
      <w:r>
        <w:rPr/>
        <w:t>. The Buyer simply needs to do some due diligence to determine whether the burdens to be imposed in posting substitute surety bonds are acceptable.</w:t>
      </w:r>
    </w:p>
    <w:p>
      <w:pPr>
        <w:pStyle w:val="Normal"/>
        <w:rPr/>
      </w:pPr>
      <w:r>
        <w:rPr/>
      </w:r>
    </w:p>
    <w:p>
      <w:pPr>
        <w:pStyle w:val="Normal"/>
        <w:numPr>
          <w:ilvl w:val="0"/>
          <w:numId w:val="2"/>
        </w:numPr>
        <w:rPr/>
      </w:pPr>
      <w:r>
        <w:rPr/>
        <w:t xml:space="preserve">Page 25 – </w:t>
      </w:r>
      <w:r>
        <w:rPr>
          <w:u w:val="single"/>
        </w:rPr>
        <w:t>Section 6.9</w:t>
      </w:r>
      <w:r>
        <w:rPr/>
        <w:t xml:space="preserve"> </w:t>
      </w:r>
      <w:r>
        <w:rPr>
          <w:u w:val="single"/>
        </w:rPr>
        <w:t>Guarantees</w:t>
      </w:r>
      <w:r>
        <w:rPr/>
        <w:t>. It is Buyer’s understanding that there are no such guarantees, so perhaps this section can be eliminated.</w:t>
      </w:r>
    </w:p>
    <w:p>
      <w:pPr>
        <w:pStyle w:val="Normal"/>
        <w:rPr/>
      </w:pPr>
      <w:r>
        <w:rPr/>
      </w:r>
    </w:p>
    <w:p>
      <w:pPr>
        <w:pStyle w:val="Normal"/>
        <w:numPr>
          <w:ilvl w:val="0"/>
          <w:numId w:val="2"/>
        </w:numPr>
        <w:rPr/>
      </w:pPr>
      <w:r>
        <w:rPr/>
        <w:t xml:space="preserve">Page 25 – </w:t>
      </w:r>
      <w:r>
        <w:rPr>
          <w:u w:val="single"/>
        </w:rPr>
        <w:t>Section 6.11</w:t>
      </w:r>
      <w:r>
        <w:rPr/>
        <w:t xml:space="preserve">  </w:t>
      </w:r>
      <w:r>
        <w:rPr>
          <w:u w:val="single"/>
        </w:rPr>
        <w:t>Litigation Support</w:t>
      </w:r>
      <w:r>
        <w:rPr/>
        <w:t>.  The Buyer is willing to reasonably cooperate with Seller in defending litigation, but the Buyer believes that all liabilities relating to litigation arising out of pre-Closing occurrences should be borne by the Seller.</w:t>
      </w:r>
    </w:p>
    <w:p>
      <w:pPr>
        <w:pStyle w:val="Normal"/>
        <w:rPr/>
      </w:pPr>
      <w:r>
        <w:rPr/>
      </w:r>
    </w:p>
    <w:p>
      <w:pPr>
        <w:pStyle w:val="Normal"/>
        <w:numPr>
          <w:ilvl w:val="0"/>
          <w:numId w:val="2"/>
        </w:numPr>
        <w:rPr/>
      </w:pPr>
      <w:r>
        <w:rPr/>
        <w:t xml:space="preserve">Page 26 – </w:t>
      </w:r>
      <w:r>
        <w:rPr>
          <w:u w:val="single"/>
        </w:rPr>
        <w:t>Section 6.12</w:t>
      </w:r>
      <w:r>
        <w:rPr/>
        <w:t xml:space="preserve">  </w:t>
      </w:r>
      <w:r>
        <w:rPr>
          <w:u w:val="single"/>
        </w:rPr>
        <w:t>Insurance</w:t>
      </w:r>
      <w:r>
        <w:rPr/>
        <w:t>.  The proposal that the Seller deal with all pre-Closing insurance matters and the Buyer deal with all post-Closing insurance matters is acceptable, although it needs to be made clear that a post-Closing claim relating to a pre-Closing event is the responsibility of the Seller, and neither Buyer nor APL or any APL Subsidiary will be responsible for additional insurance premiums (or be entitled to refunds)  relating to insurance policies covering pre-Closing occurrences.</w:t>
      </w:r>
    </w:p>
    <w:p>
      <w:pPr>
        <w:pStyle w:val="Normal"/>
        <w:rPr/>
      </w:pPr>
      <w:r>
        <w:rPr/>
      </w:r>
    </w:p>
    <w:p>
      <w:pPr>
        <w:pStyle w:val="Normal"/>
        <w:numPr>
          <w:ilvl w:val="0"/>
          <w:numId w:val="2"/>
        </w:numPr>
        <w:rPr/>
      </w:pPr>
      <w:r>
        <w:rPr/>
        <w:t xml:space="preserve">Page 25 – </w:t>
      </w:r>
      <w:r>
        <w:rPr>
          <w:u w:val="single"/>
        </w:rPr>
        <w:t>Section 6.19</w:t>
      </w:r>
      <w:r>
        <w:rPr/>
        <w:t xml:space="preserve"> </w:t>
      </w:r>
      <w:r>
        <w:rPr>
          <w:u w:val="single"/>
        </w:rPr>
        <w:t>Name Changes</w:t>
      </w:r>
      <w:r>
        <w:rPr/>
        <w:t>.  The Buyer simply needs to do some due diligence to determine whether is it feasible to change all the signage within six months.</w:t>
      </w:r>
    </w:p>
    <w:p>
      <w:pPr>
        <w:pStyle w:val="Normal"/>
        <w:rPr/>
      </w:pPr>
      <w:r>
        <w:rPr/>
      </w:r>
    </w:p>
    <w:p>
      <w:pPr>
        <w:pStyle w:val="Normal"/>
        <w:numPr>
          <w:ilvl w:val="0"/>
          <w:numId w:val="2"/>
        </w:numPr>
        <w:rPr/>
      </w:pPr>
      <w:r>
        <w:rPr/>
        <w:t xml:space="preserve">Page 26 – </w:t>
      </w:r>
      <w:r>
        <w:rPr>
          <w:u w:val="single"/>
        </w:rPr>
        <w:t>Section 6.13</w:t>
      </w:r>
      <w:r>
        <w:rPr/>
        <w:t xml:space="preserve"> </w:t>
      </w:r>
      <w:r>
        <w:rPr>
          <w:u w:val="single"/>
        </w:rPr>
        <w:t>Commercially Reasonable Efforts</w:t>
      </w:r>
      <w:r>
        <w:rPr/>
        <w:t>.  The Seller is asking the Buyer to agree in advance to any divestiture requested by the FTC or Antitrust Division in order to obtain HSR clearance.  The Buyer needs to do some due diligence to determine the implications of this provision.</w:t>
      </w:r>
    </w:p>
    <w:p>
      <w:pPr>
        <w:pStyle w:val="Normal"/>
        <w:rPr/>
      </w:pPr>
      <w:r>
        <w:rPr/>
      </w:r>
    </w:p>
    <w:p>
      <w:pPr>
        <w:pStyle w:val="Normal"/>
        <w:numPr>
          <w:ilvl w:val="0"/>
          <w:numId w:val="2"/>
        </w:numPr>
        <w:rPr/>
      </w:pPr>
      <w:r>
        <w:rPr/>
        <w:t xml:space="preserve">Page 26 – </w:t>
      </w:r>
      <w:r>
        <w:rPr>
          <w:u w:val="single"/>
        </w:rPr>
        <w:t>Section 6.14</w:t>
      </w:r>
      <w:r>
        <w:rPr/>
        <w:t xml:space="preserve"> </w:t>
      </w:r>
      <w:r>
        <w:rPr>
          <w:u w:val="single"/>
        </w:rPr>
        <w:t>Disclosure Schedule.</w:t>
      </w:r>
      <w:r>
        <w:rPr/>
        <w:t xml:space="preserve">  The Agreement provides that within 14 days after signing the Seller can amend the Disclosure Schedule; an amendment cannot “materially alter the nature or effect” of an item or have a Material Adverse Effect.  The Buyer believes that the Seller does not need to change the Disclosure Schedule if only immaterial changes will be made.</w:t>
      </w:r>
    </w:p>
    <w:p>
      <w:pPr>
        <w:pStyle w:val="Normal"/>
        <w:rPr/>
      </w:pPr>
      <w:r>
        <w:rPr/>
      </w:r>
    </w:p>
    <w:p>
      <w:pPr>
        <w:pStyle w:val="Normal"/>
        <w:numPr>
          <w:ilvl w:val="0"/>
          <w:numId w:val="2"/>
        </w:numPr>
        <w:rPr/>
      </w:pPr>
      <w:r>
        <w:rPr/>
        <w:t xml:space="preserve">Page 26 – </w:t>
      </w:r>
      <w:r>
        <w:rPr>
          <w:u w:val="single"/>
        </w:rPr>
        <w:t>Section 6.16</w:t>
      </w:r>
      <w:r>
        <w:rPr/>
        <w:t xml:space="preserve"> </w:t>
      </w:r>
      <w:r>
        <w:rPr>
          <w:u w:val="single"/>
        </w:rPr>
        <w:t>Industrial Revenue Bonds.</w:t>
      </w:r>
      <w:r>
        <w:rPr/>
        <w:t xml:space="preserve">   The Buyer simply needs to do some due diligence to determine the implications of what it is agreeing to in this provision.</w:t>
      </w:r>
    </w:p>
    <w:p>
      <w:pPr>
        <w:pStyle w:val="Normal"/>
        <w:rPr/>
      </w:pPr>
      <w:r>
        <w:rPr/>
      </w:r>
    </w:p>
    <w:p>
      <w:pPr>
        <w:pStyle w:val="Normal"/>
        <w:numPr>
          <w:ilvl w:val="0"/>
          <w:numId w:val="2"/>
        </w:numPr>
        <w:rPr/>
      </w:pPr>
      <w:r>
        <w:rPr/>
        <w:t xml:space="preserve">Pages 26 and 27 – </w:t>
      </w:r>
      <w:r>
        <w:rPr>
          <w:u w:val="single"/>
        </w:rPr>
        <w:t>Section 6.17</w:t>
      </w:r>
      <w:r>
        <w:rPr/>
        <w:t xml:space="preserve"> </w:t>
      </w:r>
      <w:r>
        <w:rPr>
          <w:u w:val="single"/>
        </w:rPr>
        <w:t>Operating Agreements.</w:t>
      </w:r>
      <w:r>
        <w:rPr/>
        <w:t xml:space="preserve">  These provisions are acceptable to Buyer so long as Buyer’s liability under such operating agreements is limited to its gross negligence or willful misconduct.</w:t>
      </w:r>
    </w:p>
    <w:p>
      <w:pPr>
        <w:pStyle w:val="Header"/>
        <w:rPr/>
      </w:pPr>
      <w:r>
        <w:rPr/>
      </w:r>
    </w:p>
    <w:p>
      <w:pPr>
        <w:pStyle w:val="Normal"/>
        <w:numPr>
          <w:ilvl w:val="0"/>
          <w:numId w:val="2"/>
        </w:numPr>
        <w:rPr/>
      </w:pPr>
      <w:r>
        <w:rPr/>
        <w:t xml:space="preserve">Page 27 – </w:t>
      </w:r>
      <w:r>
        <w:rPr>
          <w:u w:val="single"/>
        </w:rPr>
        <w:t>Article 7</w:t>
      </w:r>
      <w:r>
        <w:rPr/>
        <w:t xml:space="preserve"> </w:t>
      </w:r>
      <w:r>
        <w:rPr>
          <w:u w:val="single"/>
        </w:rPr>
        <w:t>Employees and Employee Benefits</w:t>
      </w:r>
      <w:r>
        <w:rPr/>
        <w:t>.  See item 2 above.</w:t>
      </w:r>
    </w:p>
    <w:p>
      <w:pPr>
        <w:pStyle w:val="Normal"/>
        <w:rPr/>
      </w:pPr>
      <w:r>
        <w:rPr/>
      </w:r>
    </w:p>
    <w:p>
      <w:pPr>
        <w:pStyle w:val="Normal"/>
        <w:numPr>
          <w:ilvl w:val="0"/>
          <w:numId w:val="2"/>
        </w:numPr>
        <w:rPr/>
      </w:pPr>
      <w:r>
        <w:rPr/>
        <w:t xml:space="preserve">Pages 27 to 30 – </w:t>
      </w:r>
      <w:r>
        <w:rPr>
          <w:u w:val="single"/>
        </w:rPr>
        <w:t>Article 4.12</w:t>
      </w:r>
      <w:r>
        <w:rPr/>
        <w:t xml:space="preserve"> </w:t>
      </w:r>
      <w:r>
        <w:rPr>
          <w:u w:val="single"/>
        </w:rPr>
        <w:t>Tax Matters</w:t>
      </w:r>
      <w:r>
        <w:rPr/>
        <w:t xml:space="preserve"> and </w:t>
      </w:r>
      <w:r>
        <w:rPr>
          <w:u w:val="single"/>
        </w:rPr>
        <w:t>Article 8</w:t>
      </w:r>
      <w:r>
        <w:rPr/>
        <w:t xml:space="preserve"> </w:t>
      </w:r>
      <w:r>
        <w:rPr>
          <w:u w:val="single"/>
        </w:rPr>
        <w:t>Taxes</w:t>
      </w:r>
      <w:r>
        <w:rPr/>
        <w:t>.  The Buyer will have a number of tax comments aimed at obtaining representations and information that will permit Buyer to verify that it does not have any unacceptable tax exposure, and Buyer believes that these comments will not be controversial.  Buyer believes that Section 8.2(b)(ii) should be as liability of the Seller rather than a liability of Buyer and may ask for some clarification with respect to Section 8.2(b)(iii).</w:t>
      </w:r>
    </w:p>
    <w:p>
      <w:pPr>
        <w:pStyle w:val="Normal"/>
        <w:rPr/>
      </w:pPr>
      <w:r>
        <w:rPr/>
      </w:r>
    </w:p>
    <w:p>
      <w:pPr>
        <w:pStyle w:val="Normal"/>
        <w:numPr>
          <w:ilvl w:val="0"/>
          <w:numId w:val="2"/>
        </w:numPr>
        <w:rPr/>
      </w:pPr>
      <w:r>
        <w:rPr/>
        <w:t xml:space="preserve">Page 30 -  </w:t>
      </w:r>
      <w:r>
        <w:rPr>
          <w:u w:val="single"/>
        </w:rPr>
        <w:t>Section 9.1</w:t>
      </w:r>
      <w:r>
        <w:rPr/>
        <w:t xml:space="preserve"> </w:t>
      </w:r>
      <w:r>
        <w:rPr>
          <w:u w:val="single"/>
        </w:rPr>
        <w:t>Seller’s Indemnification</w:t>
      </w:r>
      <w:r>
        <w:rPr/>
        <w:t>.  The draft says the Seller will indemnify the Buyer for Excluded Liabilities, and the term Excluded Liabilities includes all liabilities associated with assets divested prior to the Closing.  Excluded Liabilities should also include those associated with assets that must be divested post-Closing in order to obtain HSR approval.  The Seller should retain liabilities associated with those assets as well, since the Buyer in effect is not purchasing them.  The Seller should indemnify Buyer for any material misstatement or omission in the information disclosed to Buyer.</w:t>
      </w:r>
    </w:p>
    <w:p>
      <w:pPr>
        <w:pStyle w:val="Normal"/>
        <w:rPr/>
      </w:pPr>
      <w:r>
        <w:rPr/>
      </w:r>
    </w:p>
    <w:p>
      <w:pPr>
        <w:pStyle w:val="Normal"/>
        <w:numPr>
          <w:ilvl w:val="0"/>
          <w:numId w:val="2"/>
        </w:numPr>
        <w:rPr/>
      </w:pPr>
      <w:r>
        <w:rPr/>
        <w:t xml:space="preserve">Page 31 -  </w:t>
      </w:r>
      <w:r>
        <w:rPr>
          <w:u w:val="single"/>
        </w:rPr>
        <w:t>Section 9.3</w:t>
      </w:r>
      <w:r>
        <w:rPr/>
        <w:t xml:space="preserve"> </w:t>
      </w:r>
      <w:r>
        <w:rPr>
          <w:u w:val="single"/>
        </w:rPr>
        <w:t>Monetary Limitation</w:t>
      </w:r>
      <w:r>
        <w:rPr/>
        <w:t>.  The Buyer proposes that it be entitled to indemnity for (a) all Excluded Liabilities and Scheduled Environmental Losses, (b) all Unscheduled Environmental Losses in excess of 3% of the purchase price, and (c) all losses resulting from breaches of representations, warranties and covenants in excess of 3% of the purchase price.  The Buyer believes that neither the $250,000 per item floors in Section 9.3(a)(i) and 9.3(b)(i) nor the 15% or $20 million limits in Section 9.3(a)(iii) and 9.3(b)(ii) should apply.  Sections 9.3(a)(iv) and 9.3(b)(iii) should be eliminated as unnecessary and confusing, although the Buyer has no objection to language making it clear that Seller is not liable for amounts not covered by its indemnity obligation.</w:t>
      </w:r>
    </w:p>
    <w:p>
      <w:pPr>
        <w:pStyle w:val="Normal"/>
        <w:rPr/>
      </w:pPr>
      <w:r>
        <w:rPr/>
      </w:r>
    </w:p>
    <w:p>
      <w:pPr>
        <w:pStyle w:val="Normal"/>
        <w:numPr>
          <w:ilvl w:val="0"/>
          <w:numId w:val="2"/>
        </w:numPr>
        <w:rPr/>
      </w:pPr>
      <w:r>
        <w:rPr/>
        <w:t xml:space="preserve">Page 32 -  </w:t>
      </w:r>
      <w:r>
        <w:rPr>
          <w:u w:val="single"/>
        </w:rPr>
        <w:t>Section 9.4</w:t>
      </w:r>
      <w:r>
        <w:rPr/>
        <w:t xml:space="preserve"> </w:t>
      </w:r>
      <w:r>
        <w:rPr>
          <w:u w:val="single"/>
        </w:rPr>
        <w:t>Nature and Survival; Time Limits</w:t>
      </w:r>
      <w:r>
        <w:rPr/>
        <w:t>.  The Buyer proposes that Seller’s responsibilities for Excluded Liabilities, Scheduled Environmental Losses and title to APL shares survive indefinitely, that Seller’s responsibilities for Unscheduled Environmental Losses survive for five years (except for those impacting groundwater, which should survive for nine years) and that Seller’s responsibilities for breaches of representations, warranties and covenants survive for three years.   Because the Buyer will bear a portion of the risk of Unscheduled Environmental Liabilities, it will have no incentive to conduct imprudent testing.  Therefore, the last sentence should be deleted.</w:t>
      </w:r>
    </w:p>
    <w:p>
      <w:pPr>
        <w:pStyle w:val="Normal"/>
        <w:rPr/>
      </w:pPr>
      <w:r>
        <w:rPr/>
      </w:r>
    </w:p>
    <w:p>
      <w:pPr>
        <w:pStyle w:val="Normal"/>
        <w:numPr>
          <w:ilvl w:val="0"/>
          <w:numId w:val="2"/>
        </w:numPr>
        <w:rPr/>
      </w:pPr>
      <w:r>
        <w:rPr/>
        <w:t xml:space="preserve">Page 34 -  </w:t>
      </w:r>
      <w:r>
        <w:rPr>
          <w:u w:val="single"/>
        </w:rPr>
        <w:t>Section 9.6</w:t>
      </w:r>
      <w:r>
        <w:rPr/>
        <w:t xml:space="preserve"> </w:t>
      </w:r>
      <w:r>
        <w:rPr>
          <w:u w:val="single"/>
        </w:rPr>
        <w:t>General Provisions</w:t>
      </w:r>
      <w:r>
        <w:rPr/>
        <w:t>.  In (d), since indemnity is for amounts in excess of reserves, then Buyer clearly needs to see the balance sheet before it signs.  The reference to “any reserves” should be more precise.  If there is a reserve for a specific contingency that reserve should be exhausted prior to requiring indemnity for that contingency, but the reserve should not be exhausted to cover other contingencies.  The indemnity does not take into account that even though a loss may be covered by insurance, by experiencing that loss APL or an APL Subsidiary may have to pay higher insurance premiums in the future.  The indemnity should covers those higher costs.</w:t>
      </w:r>
    </w:p>
    <w:p>
      <w:pPr>
        <w:pStyle w:val="Normal"/>
        <w:rPr/>
      </w:pPr>
      <w:r>
        <w:rPr/>
      </w:r>
    </w:p>
    <w:p>
      <w:pPr>
        <w:pStyle w:val="Normal"/>
        <w:numPr>
          <w:ilvl w:val="0"/>
          <w:numId w:val="2"/>
        </w:numPr>
        <w:rPr/>
      </w:pPr>
      <w:r>
        <w:rPr/>
        <w:t xml:space="preserve">Page 35 -  </w:t>
      </w:r>
      <w:r>
        <w:rPr>
          <w:u w:val="single"/>
        </w:rPr>
        <w:t>Section 10.1</w:t>
      </w:r>
      <w:r>
        <w:rPr/>
        <w:t xml:space="preserve"> </w:t>
      </w:r>
      <w:r>
        <w:rPr>
          <w:u w:val="single"/>
        </w:rPr>
        <w:t>Conditions Precedent to Obligations of Buyer</w:t>
      </w:r>
      <w:r>
        <w:rPr/>
        <w:t>.  The Agreement says in effect that the Buyer cannot refuse to close unless the loss is large enough so that the Buyer would be entitled to indemnity.  There is no reason why that needs to be the case.  There could be one test for determining whether the Buyer is required to close if it finds out something before the Closing, and a different test for determining whether the Buyer is entitled to indemnity for something that happens or is discovered after the Closing.  The effect of these provisions is to require the Buyer to close even under circumstances in which the Buyer knows of a fairly substantial loss (theoretically up to 6% of the purchase price).  In (e) the effect of this is to provide that if there is a suit for damages by a non-governmental plaintiff the Buyer cannot refuse to close.  If a lawsuit were filed alleging that the plaintiff would be damaged by the Closing of this transaction the Buyer would suffer the loss if the plaintiff ultimately prevailed.  The Buyer would be forced to close but would also take the risk that the plaintiff would succeed.  At a minimum the Buyer ought to be able to refuse to close unless fully indemnified.</w:t>
      </w:r>
    </w:p>
    <w:p>
      <w:pPr>
        <w:pStyle w:val="Normal"/>
        <w:rPr/>
      </w:pPr>
      <w:r>
        <w:rPr/>
      </w:r>
    </w:p>
    <w:p>
      <w:pPr>
        <w:pStyle w:val="Normal"/>
        <w:numPr>
          <w:ilvl w:val="0"/>
          <w:numId w:val="2"/>
        </w:numPr>
        <w:rPr/>
      </w:pPr>
      <w:r>
        <w:rPr/>
        <w:t xml:space="preserve">Page 36 -  </w:t>
      </w:r>
      <w:r>
        <w:rPr>
          <w:u w:val="single"/>
        </w:rPr>
        <w:t>Section 10.2</w:t>
      </w:r>
      <w:r>
        <w:rPr/>
        <w:t xml:space="preserve"> </w:t>
      </w:r>
      <w:r>
        <w:rPr>
          <w:u w:val="single"/>
        </w:rPr>
        <w:t>Conditions Precedent to Obligations of Seller</w:t>
      </w:r>
      <w:r>
        <w:rPr/>
        <w:t>.  The Buyer should be entitled to a  breakup fee of 5% of the purchase price if the Seller backs out because of conditions described in (d) or (e).  The draft says Seller’s “internal” counsel can give the Seller’s opinion, but the word “internal” is missing on the Buyer side.  In any event, the Buyer does not understand why the Seller needs an opinion from the Buyer’s counsel.</w:t>
      </w:r>
    </w:p>
    <w:p>
      <w:pPr>
        <w:pStyle w:val="Normal"/>
        <w:rPr/>
      </w:pPr>
      <w:r>
        <w:rPr/>
      </w:r>
    </w:p>
    <w:p>
      <w:pPr>
        <w:pStyle w:val="Normal"/>
        <w:numPr>
          <w:ilvl w:val="0"/>
          <w:numId w:val="2"/>
        </w:numPr>
        <w:rPr/>
      </w:pPr>
      <w:r>
        <w:rPr/>
        <w:t xml:space="preserve">Page 37 – </w:t>
      </w:r>
      <w:r>
        <w:rPr>
          <w:u w:val="single"/>
        </w:rPr>
        <w:t>Section 11.1</w:t>
      </w:r>
      <w:r>
        <w:rPr/>
        <w:t xml:space="preserve"> </w:t>
      </w:r>
      <w:r>
        <w:rPr>
          <w:u w:val="single"/>
        </w:rPr>
        <w:t>Termination Before Closing</w:t>
      </w:r>
      <w:r>
        <w:rPr/>
        <w:t>.  The 270 days in (d) and (e)  should be changed to 120 days.</w:t>
      </w:r>
    </w:p>
    <w:p>
      <w:pPr>
        <w:pStyle w:val="Normal"/>
        <w:rPr/>
      </w:pPr>
      <w:r>
        <w:rPr/>
      </w:r>
    </w:p>
    <w:p>
      <w:pPr>
        <w:pStyle w:val="Normal"/>
        <w:numPr>
          <w:ilvl w:val="0"/>
          <w:numId w:val="2"/>
        </w:numPr>
        <w:rPr/>
      </w:pPr>
      <w:r>
        <w:rPr/>
        <w:t xml:space="preserve">Page 38 -  </w:t>
      </w:r>
      <w:r>
        <w:rPr>
          <w:u w:val="single"/>
        </w:rPr>
        <w:t>Section 12.6</w:t>
      </w:r>
      <w:r>
        <w:rPr/>
        <w:t xml:space="preserve"> </w:t>
      </w:r>
      <w:r>
        <w:rPr>
          <w:u w:val="single"/>
        </w:rPr>
        <w:t>Binding Effect; Assignment</w:t>
      </w:r>
      <w:r>
        <w:rPr/>
        <w:t>.  The prohibition on assignment by operation of law is inconsistent with the notion that the Seller will merge.</w:t>
      </w:r>
    </w:p>
    <w:p>
      <w:pPr>
        <w:pStyle w:val="Normal"/>
        <w:rPr/>
      </w:pPr>
      <w:r>
        <w:rPr/>
      </w:r>
    </w:p>
    <w:p>
      <w:pPr>
        <w:pStyle w:val="Normal"/>
        <w:numPr>
          <w:ilvl w:val="0"/>
          <w:numId w:val="2"/>
        </w:numPr>
        <w:rPr/>
      </w:pPr>
      <w:r>
        <w:rPr/>
        <w:t xml:space="preserve">Page 38 -  </w:t>
      </w:r>
      <w:r>
        <w:rPr>
          <w:u w:val="single"/>
        </w:rPr>
        <w:t>Section 12.9</w:t>
      </w:r>
      <w:r>
        <w:rPr/>
        <w:t xml:space="preserve"> </w:t>
      </w:r>
      <w:r>
        <w:rPr>
          <w:u w:val="single"/>
        </w:rPr>
        <w:t>No Third Party Beneficiaries</w:t>
      </w:r>
      <w:r>
        <w:rPr/>
        <w:t>.  The provisions of this section are inconsistent with the indemnity language, which provides for indemnification of Buyer Indemnitees and Seller Indemnitees.</w:t>
      </w:r>
    </w:p>
    <w:p>
      <w:pPr>
        <w:pStyle w:val="Normal"/>
        <w:rPr/>
      </w:pPr>
      <w:r>
        <w:rPr/>
      </w:r>
    </w:p>
    <w:p>
      <w:pPr>
        <w:pStyle w:val="Normal"/>
        <w:numPr>
          <w:ilvl w:val="0"/>
          <w:numId w:val="2"/>
        </w:numPr>
        <w:rPr/>
      </w:pPr>
      <w:r>
        <w:rPr/>
        <w:t xml:space="preserve">Page 38 -  </w:t>
      </w:r>
      <w:r>
        <w:rPr>
          <w:u w:val="single"/>
        </w:rPr>
        <w:t>Section 12.10</w:t>
      </w:r>
      <w:r>
        <w:rPr/>
        <w:t xml:space="preserve"> </w:t>
      </w:r>
      <w:r>
        <w:rPr>
          <w:u w:val="single"/>
        </w:rPr>
        <w:t>Jurisdiction; Service of Process</w:t>
      </w:r>
      <w:r>
        <w:rPr/>
        <w:t xml:space="preserve">.  The Buyer believes that the provisions relating to New York service of process, jurisdiction and venue may need further discussion between the parties, although the Buyer has no objection to the use of New York law for purposes of contract construction.  </w:t>
      </w:r>
    </w:p>
    <w:p>
      <w:pPr>
        <w:pStyle w:val="Normal"/>
        <w:rPr/>
      </w:pPr>
      <w:r>
        <w:rPr/>
      </w:r>
    </w:p>
    <w:p>
      <w:pPr>
        <w:pStyle w:val="Normal"/>
        <w:numPr>
          <w:ilvl w:val="0"/>
          <w:numId w:val="2"/>
        </w:numPr>
        <w:rPr/>
      </w:pPr>
      <w:r>
        <w:rPr/>
        <w:t xml:space="preserve">Page 40 -  </w:t>
      </w:r>
      <w:r>
        <w:rPr>
          <w:u w:val="single"/>
        </w:rPr>
        <w:t>Section 12.11</w:t>
      </w:r>
      <w:r>
        <w:rPr/>
        <w:t xml:space="preserve"> </w:t>
      </w:r>
      <w:r>
        <w:rPr>
          <w:u w:val="single"/>
        </w:rPr>
        <w:t>Schedules</w:t>
      </w:r>
      <w:r>
        <w:rPr/>
        <w:t>.  The first sentence in effect places on the Buyer the burden of considering whether disclosures in any one schedule also constitute exceptions to other schedules.  The Buyer is unable to evaluate this without seeing the Disclosure Schedules.  The Buyer believes that the last sentence in Section 12.11, which attempts to set forth some evidentiary rules in the event of a dispute, is inappropriate.</w:t>
      </w:r>
    </w:p>
    <w:p>
      <w:pPr>
        <w:pStyle w:val="Normal"/>
        <w:rPr/>
      </w:pPr>
      <w:r>
        <w:rPr/>
      </w:r>
    </w:p>
    <w:p>
      <w:pPr>
        <w:pStyle w:val="Normal"/>
        <w:numPr>
          <w:ilvl w:val="0"/>
          <w:numId w:val="2"/>
        </w:numPr>
        <w:rPr/>
      </w:pPr>
      <w:r>
        <w:rPr/>
        <w:t xml:space="preserve">Page 40 -  </w:t>
      </w:r>
      <w:r>
        <w:rPr>
          <w:u w:val="single"/>
        </w:rPr>
        <w:t>Section 12.12</w:t>
      </w:r>
      <w:r>
        <w:rPr/>
        <w:t xml:space="preserve"> </w:t>
      </w:r>
      <w:r>
        <w:rPr>
          <w:u w:val="single"/>
        </w:rPr>
        <w:t>Arbitration</w:t>
      </w:r>
      <w:r>
        <w:rPr/>
        <w:t xml:space="preserve">.  The Buyer believes that the experts should be experts in the “oil pipeline industry” rather than the “oil and gas industry.” </w:t>
      </w:r>
    </w:p>
    <w:p>
      <w:pPr>
        <w:pStyle w:val="Normal"/>
        <w:ind w:start="720" w:end="0"/>
        <w:rPr/>
      </w:pPr>
      <w:r>
        <w:rPr/>
      </w:r>
    </w:p>
    <w:p>
      <w:pPr>
        <w:pStyle w:val="Normal"/>
        <w:numPr>
          <w:ilvl w:val="0"/>
          <w:numId w:val="2"/>
        </w:numPr>
        <w:rPr/>
      </w:pPr>
      <w:r>
        <w:rPr/>
        <w:t>Page A-1 - Appendix A.  The chief executive officer and the chief financial and accounting officers should be included on the list.  Also, it is not clear whether these are officers of Seller or of APL.  Officers of both should be included.  Also, there should be included in-house counsel in charge of litigation and environmental compliance and heads of pipeline operations, safety and compliance.  The Seller should represent that the people on the list are the most knowledgeable regarding the assets and operations of APL and the APL Subsidiaries.</w:t>
      </w:r>
    </w:p>
    <w:p>
      <w:pPr>
        <w:pStyle w:val="Normal"/>
        <w:rPr/>
      </w:pPr>
      <w:r>
        <w:rPr/>
      </w:r>
    </w:p>
    <w:p>
      <w:pPr>
        <w:pStyle w:val="Normal"/>
        <w:numPr>
          <w:ilvl w:val="0"/>
          <w:numId w:val="2"/>
        </w:numPr>
        <w:rPr/>
      </w:pPr>
      <w:r>
        <w:rPr/>
        <w:t>Opinions of Counsel – There are a few things that need to be corrected that are probably not worth mentioning at this point.  About the only significant additional qualification that Buyer’s counsel’s opinion needs to have is an exception as to the enforceability of the provisions that may be construed as attempts to limit Seller’s responsibilities under securities laws.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ab/>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440"/>
        </w:tabs>
        <w:ind w:start="1440" w:hanging="72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end"/>
      <w:outlineLvl w:val="0"/>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2000-03-03T19:24:00Z</dcterms:created>
  <dc:creator>Vinson &amp; Elkins L.L.P.</dc:creator>
  <dc:description/>
  <dc:language>en-CA</dc:language>
  <cp:lastModifiedBy>Vinson &amp; Elkins L.L.P.</cp:lastModifiedBy>
  <dcterms:modified xsi:type="dcterms:W3CDTF">2000-03-06T20:30:00Z</dcterms:modified>
  <cp:revision>18</cp:revision>
  <dc:subject/>
  <dc:title>Draft of 3/2/00</dc:title>
</cp:coreProperties>
</file>