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PRICING PROTOCOL FOR THE SOUTHEAST POWER GRID </w:t>
      </w:r>
    </w:p>
    <w:p>
      <w:pPr>
        <w:pStyle w:val="Normal"/>
        <w:jc w:val="center"/>
        <w:rPr>
          <w:b/>
          <w:bCs/>
        </w:rPr>
      </w:pPr>
      <w:r>
        <w:rPr>
          <w:b/>
          <w:bCs/>
        </w:rPr>
      </w:r>
    </w:p>
    <w:p>
      <w:pPr>
        <w:pStyle w:val="Normal"/>
        <w:jc w:val="center"/>
        <w:rPr>
          <w:b/>
          <w:bCs/>
        </w:rPr>
      </w:pPr>
      <w:r>
        <w:rPr>
          <w:b/>
          <w:bCs/>
        </w:rPr>
      </w:r>
    </w:p>
    <w:p>
      <w:pPr>
        <w:pStyle w:val="OutlineStyle1"/>
        <w:numPr>
          <w:ilvl w:val="0"/>
          <w:numId w:val="2"/>
        </w:numPr>
        <w:ind w:hanging="0" w:start="0"/>
        <w:rPr/>
      </w:pPr>
      <w:r>
        <w:rPr/>
        <w:t>CORE PHILOSOPHY</w:t>
      </w:r>
    </w:p>
    <w:p>
      <w:pPr>
        <w:pStyle w:val="OutlineStyle2"/>
        <w:numPr>
          <w:ilvl w:val="1"/>
          <w:numId w:val="2"/>
        </w:numPr>
        <w:ind w:hanging="0" w:start="0"/>
        <w:rPr/>
      </w:pPr>
      <w:r>
        <w:rPr/>
        <w:t>One-Stop Shopping</w:t>
      </w:r>
    </w:p>
    <w:p>
      <w:pPr>
        <w:pStyle w:val="Normal"/>
        <w:ind w:start="1440" w:end="0"/>
        <w:rPr/>
      </w:pPr>
      <w:r>
        <w:rPr/>
        <w:t>There will be a single open access transmission tariff ("OATT") for the Southeast Power Grid ("SPG").  The OATT will govern transmission service over all facilities owned or controlled by the regional transmission organization ("RTO") for the SPG.  The SPG RTO will be the sole provider of transmission service under the OATT.  It or its agent will receive and approve or deny all requests for transmission and interconnection service.</w:t>
      </w:r>
    </w:p>
    <w:p>
      <w:pPr>
        <w:pStyle w:val="Normal"/>
        <w:ind w:start="1440" w:end="0"/>
        <w:rPr/>
      </w:pPr>
      <w:r>
        <w:rPr/>
      </w:r>
    </w:p>
    <w:p>
      <w:pPr>
        <w:pStyle w:val="OutlineStyle2"/>
        <w:numPr>
          <w:ilvl w:val="1"/>
          <w:numId w:val="2"/>
        </w:numPr>
        <w:ind w:hanging="0" w:start="0"/>
        <w:rPr/>
      </w:pPr>
      <w:r>
        <w:rPr/>
        <w:t>All Load Under the Tariff</w:t>
      </w:r>
    </w:p>
    <w:p>
      <w:pPr>
        <w:pStyle w:val="Normal"/>
        <w:ind w:start="1440" w:end="0"/>
        <w:rPr/>
      </w:pPr>
      <w:r>
        <w:rPr/>
        <w:t>The SPG RTO will promote comparability by requiring that all load will be served under the OATT, whether taken directly by the load customer or by an entity on behalf of the load customer.  For example, public utilities will take service on behalf of retail load load</w:t>
      </w:r>
      <w:r>
        <w:rPr>
          <w:rStyle w:val="FootnoteCharacters"/>
          <w:rStyle w:val="FootnoteReference"/>
        </w:rPr>
        <w:footnoteReference w:id="2"/>
      </w:r>
      <w:r>
        <w:rPr/>
        <w:t xml:space="preserve"> and load served under existing transmission agreements ("ETAs").</w:t>
      </w:r>
    </w:p>
    <w:p>
      <w:pPr>
        <w:pStyle w:val="Normal"/>
        <w:ind w:start="1440" w:end="0"/>
        <w:rPr/>
      </w:pPr>
      <w:r>
        <w:rPr/>
      </w:r>
    </w:p>
    <w:p>
      <w:pPr>
        <w:pStyle w:val="OutlineStyle2"/>
        <w:numPr>
          <w:ilvl w:val="1"/>
          <w:numId w:val="2"/>
        </w:numPr>
        <w:ind w:hanging="0" w:start="0"/>
        <w:rPr/>
      </w:pPr>
      <w:r>
        <w:rPr/>
        <w:t>Encouraging Public Power Participation</w:t>
      </w:r>
    </w:p>
    <w:p>
      <w:pPr>
        <w:pStyle w:val="Normal"/>
        <w:ind w:start="1440" w:end="0"/>
        <w:rPr/>
      </w:pPr>
      <w:r>
        <w:rPr/>
        <w:t>The SPG RTO will encourage public power participation through protocols designed to account for legal limitations, such as tax-related matters, and to provide mechanisms that provide cost recovery for facilities the costs of which today are borne solely by public power customers.</w:t>
      </w:r>
    </w:p>
    <w:p>
      <w:pPr>
        <w:pStyle w:val="Normal"/>
        <w:ind w:start="1440" w:end="0"/>
        <w:rPr/>
      </w:pPr>
      <w:r>
        <w:rPr/>
      </w:r>
    </w:p>
    <w:p>
      <w:pPr>
        <w:pStyle w:val="OutlineStyle2"/>
        <w:numPr>
          <w:ilvl w:val="1"/>
          <w:numId w:val="2"/>
        </w:numPr>
        <w:ind w:hanging="0" w:start="0"/>
        <w:rPr/>
      </w:pPr>
      <w:r>
        <w:rPr/>
        <w:t>Elimination of Rate Pancaking</w:t>
      </w:r>
    </w:p>
    <w:p>
      <w:pPr>
        <w:pStyle w:val="Normal"/>
        <w:ind w:start="1440" w:end="0"/>
        <w:rPr/>
      </w:pPr>
      <w:r>
        <w:rPr/>
        <w:t>All service under the SPG RTO OATT will be provided at non-pancaked rates, subject to cost shifting mitigation and any needed transition provision.  Non-participants will be subject to continuation of pancaking.</w:t>
      </w:r>
    </w:p>
    <w:p>
      <w:pPr>
        <w:pStyle w:val="Normal"/>
        <w:ind w:start="1440" w:end="0"/>
        <w:rPr/>
      </w:pPr>
      <w:r>
        <w:rPr/>
      </w:r>
    </w:p>
    <w:p>
      <w:pPr>
        <w:pStyle w:val="OutlineStyle2"/>
        <w:numPr>
          <w:ilvl w:val="1"/>
          <w:numId w:val="2"/>
        </w:numPr>
        <w:ind w:hanging="0" w:start="0"/>
        <w:rPr/>
      </w:pPr>
      <w:r>
        <w:rPr/>
        <w:t>Mitigating Cost Shifts</w:t>
      </w:r>
    </w:p>
    <w:p>
      <w:pPr>
        <w:pStyle w:val="Normal"/>
        <w:ind w:start="1440" w:end="0"/>
        <w:rPr/>
      </w:pPr>
      <w:r>
        <w:rPr/>
        <w:t xml:space="preserve">The SPG will encourage participation of all transmission owners by adopting protocols that will mitigate the cost shifts associated with the transition to the SPG RTO.  </w:t>
      </w:r>
    </w:p>
    <w:p>
      <w:pPr>
        <w:pStyle w:val="Normal"/>
        <w:ind w:start="1440" w:end="0"/>
        <w:rPr/>
      </w:pPr>
      <w:r>
        <w:rPr/>
      </w:r>
    </w:p>
    <w:p>
      <w:pPr>
        <w:pStyle w:val="OutlineStyle2"/>
        <w:numPr>
          <w:ilvl w:val="1"/>
          <w:numId w:val="2"/>
        </w:numPr>
        <w:ind w:hanging="0" w:start="0"/>
        <w:rPr/>
      </w:pPr>
      <w:r>
        <w:rPr/>
        <w:t>Honoring Existing Transmission Agreements</w:t>
      </w:r>
    </w:p>
    <w:p>
      <w:pPr>
        <w:pStyle w:val="Normal"/>
        <w:ind w:start="1440" w:end="0"/>
        <w:rPr/>
      </w:pPr>
      <w:r>
        <w:rPr/>
        <w:t>The SPG will encourage RTO participation by honoring ETAs.  Individual OATT transmission service agreements ("TSAs") in effect at the commencement of SPG RTO operations shall be converted to SPG RTO TSAs.  To provide for comparability of service, if an ETA is not converted, the transmission provider under the ETA shall procure the necessary services to perform under that ETA from the SPG RTO pursuant to the SPG RTO OATT.</w:t>
      </w:r>
    </w:p>
    <w:p>
      <w:pPr>
        <w:pStyle w:val="Normal"/>
        <w:ind w:start="1440" w:end="0"/>
        <w:rPr/>
      </w:pPr>
      <w:r>
        <w:rPr/>
      </w:r>
    </w:p>
    <w:p>
      <w:pPr>
        <w:pStyle w:val="OutlineStyle1"/>
        <w:numPr>
          <w:ilvl w:val="0"/>
          <w:numId w:val="2"/>
        </w:numPr>
        <w:ind w:hanging="0" w:start="0"/>
        <w:rPr/>
      </w:pPr>
      <w:r>
        <w:rPr/>
        <w:t>FACILITIES UNDER THE CONTROL OF THE SPG RTO</w:t>
      </w:r>
    </w:p>
    <w:p>
      <w:pPr>
        <w:pStyle w:val="Normal"/>
        <w:ind w:start="720" w:end="0"/>
        <w:rPr/>
      </w:pPr>
      <w:r>
        <w:rPr/>
        <w:t>For purposes of pricing, the SPG RTO shall consist of four regions (Entergy, SeTrans, GridSouth and GridFlorida) and each region may establish methodologies for determining which facilities are under the control of the SPG RTO and included in rates.</w:t>
      </w:r>
      <w:r>
        <w:rPr>
          <w:rStyle w:val="FootnoteCharacters"/>
          <w:rStyle w:val="FootnoteReference"/>
        </w:rPr>
        <w:footnoteReference w:id="3"/>
      </w:r>
      <w:r>
        <w:rPr/>
        <w:t xml:space="preserve">  These standards will be developed initially with input from stakeholders, using, as appropriate, approvals obtained or regional agreements reached during the initial Order No. 2000 compliance process.  </w:t>
      </w:r>
    </w:p>
    <w:p>
      <w:pPr>
        <w:pStyle w:val="OutlineStyle1"/>
        <w:numPr>
          <w:ilvl w:val="0"/>
          <w:numId w:val="0"/>
        </w:numPr>
        <w:ind w:hanging="0" w:start="0"/>
        <w:rPr>
          <w:b w:val="false"/>
          <w:bCs w:val="false"/>
        </w:rPr>
      </w:pPr>
      <w:r>
        <w:rPr>
          <w:b w:val="false"/>
          <w:bCs w:val="false"/>
        </w:rPr>
      </w:r>
    </w:p>
    <w:p>
      <w:pPr>
        <w:pStyle w:val="OutlineStyle1"/>
        <w:numPr>
          <w:ilvl w:val="0"/>
          <w:numId w:val="2"/>
        </w:numPr>
        <w:ind w:hanging="0" w:start="0"/>
        <w:rPr/>
      </w:pPr>
      <w:r>
        <w:rPr/>
        <w:t xml:space="preserve">PARTICIPANT FUNDED, DIRECT ASSIGNED, AND MERCHANT TRANSMISSION </w:t>
      </w:r>
    </w:p>
    <w:p>
      <w:pPr>
        <w:pStyle w:val="Normal"/>
        <w:ind w:start="720" w:end="0"/>
        <w:rPr/>
      </w:pPr>
      <w:r>
        <w:rPr>
          <w:lang w:val="en-CA"/>
        </w:rPr>
        <w:t>T</w:t>
      </w:r>
      <w:r>
        <w:rPr>
          <w:lang w:val="en-CA"/>
        </w:rPr>
      </w:r>
      <w:r>
        <w:rPr>
          <w:color w:val="000000"/>
        </w:rPr>
        <w:t>here may be facilities constructed within the RTO footprint (i) that are directly funded by a participant (in the Entergy/SPP RTO proposal filed with the Commission, such facilities are referred to as "participant funded" facilities), (ii) that do not fall within the category of "participant funded" as that term is used in the Entergy/SPP RTO proposal, but the costs of which otherwise are directly assigned (in some proposals, such as GridFlorida, direct assignment was permitted for facilities built ahead of schedule or to accommodate requests for enhanced service above the standard provided in the GridFlorida planning protocol), or (iii) that are merchant funded (in some parts of the country, the Commission has permitted construction of merchant transmission facilities).  In each of these cases, the costs of such facilities will not be included in the Zonal, Regional, System, or Grid Management charges discussed below.  The facilities will, however, will be subject to the control of the IMA and Transco for planning and operations purposes to the same extent other similar facilities are subject to such control.</w:t>
      </w:r>
    </w:p>
    <w:p>
      <w:pPr>
        <w:pStyle w:val="Normal"/>
        <w:ind w:start="720" w:end="0"/>
        <w:rPr/>
      </w:pPr>
      <w:r>
        <w:rPr/>
      </w:r>
    </w:p>
    <w:p>
      <w:pPr>
        <w:pStyle w:val="OutlineStyle1"/>
        <w:numPr>
          <w:ilvl w:val="0"/>
          <w:numId w:val="2"/>
        </w:numPr>
        <w:ind w:hanging="0" w:start="0"/>
        <w:rPr/>
      </w:pPr>
      <w:r>
        <w:rPr/>
        <w:t>NATURE OF SERVICE</w:t>
      </w:r>
    </w:p>
    <w:p>
      <w:pPr>
        <w:pStyle w:val="Normal"/>
        <w:ind w:start="720" w:end="0"/>
        <w:rPr/>
      </w:pPr>
      <w:r>
        <w:rPr/>
        <w:t xml:space="preserve">The SPG RTO will provide open access transmission service at nonpancaked charges pursuant to the nonrate terms and conditions of the </w:t>
      </w:r>
      <w:r>
        <w:rPr>
          <w:i/>
          <w:iCs/>
        </w:rPr>
        <w:t xml:space="preserve">Pro Forma </w:t>
      </w:r>
      <w:r>
        <w:rPr/>
        <w:t>Tariff adopted in Order No. 888.</w:t>
      </w:r>
    </w:p>
    <w:p>
      <w:pPr>
        <w:pStyle w:val="Normal"/>
        <w:ind w:start="720" w:end="0"/>
        <w:rPr/>
      </w:pPr>
      <w:r>
        <w:rPr/>
      </w:r>
    </w:p>
    <w:p>
      <w:pPr>
        <w:pStyle w:val="OutlineStyle2"/>
        <w:numPr>
          <w:ilvl w:val="1"/>
          <w:numId w:val="2"/>
        </w:numPr>
        <w:ind w:hanging="0" w:start="0"/>
        <w:rPr/>
      </w:pPr>
      <w:r>
        <w:rPr/>
        <w:t xml:space="preserve">Network Service </w:t>
      </w:r>
    </w:p>
    <w:p>
      <w:pPr>
        <w:pStyle w:val="Normal"/>
        <w:ind w:start="1440" w:end="0"/>
        <w:rPr/>
      </w:pPr>
      <w:r>
        <w:rPr/>
        <w:t>Network Service will be available for transmission into or within the SPG RTO.  The pricing of Network Service will be on a zonal basis within each region, as explained further in Section IV.</w:t>
      </w:r>
    </w:p>
    <w:p>
      <w:pPr>
        <w:pStyle w:val="Normal"/>
        <w:ind w:start="1440" w:end="0"/>
        <w:rPr/>
      </w:pPr>
      <w:r>
        <w:rPr/>
      </w:r>
    </w:p>
    <w:p>
      <w:pPr>
        <w:pStyle w:val="OutlineStyle2"/>
        <w:keepNext w:val="true"/>
        <w:numPr>
          <w:ilvl w:val="1"/>
          <w:numId w:val="2"/>
        </w:numPr>
        <w:ind w:hanging="0" w:start="0"/>
        <w:rPr/>
      </w:pPr>
      <w:r>
        <w:rPr/>
        <w:t>Point-to-Point Service</w:t>
      </w:r>
    </w:p>
    <w:p>
      <w:pPr>
        <w:pStyle w:val="Normal"/>
        <w:keepNext w:val="true"/>
        <w:ind w:start="1440" w:end="0"/>
        <w:rPr/>
      </w:pPr>
      <w:r>
        <w:rPr/>
        <w:t>Point-to-Point Service ("PTP") will be available for transmission service within, into, through, and out of the SPG.  The pricing of PTP for service within or into the SPG RTO will be on a zonal basis; the pricing of PTP for service through or out of the SPG RTO will be on a postage-stamp basis, as explained further in Section IV.</w:t>
      </w:r>
    </w:p>
    <w:p>
      <w:pPr>
        <w:pStyle w:val="OutlineStyle1"/>
        <w:numPr>
          <w:ilvl w:val="0"/>
          <w:numId w:val="0"/>
        </w:numPr>
        <w:ind w:hanging="0" w:start="0"/>
        <w:rPr/>
      </w:pPr>
      <w:r>
        <w:rPr/>
      </w:r>
    </w:p>
    <w:p>
      <w:pPr>
        <w:pStyle w:val="OutlineStyle1"/>
        <w:numPr>
          <w:ilvl w:val="0"/>
          <w:numId w:val="2"/>
        </w:numPr>
        <w:ind w:hanging="0" w:start="0"/>
        <w:rPr/>
      </w:pPr>
      <w:r>
        <w:rPr/>
        <w:t>COST ALLOCATION FOR EXISTING AND NEW TRANSMISSION FACILITIES</w:t>
      </w:r>
    </w:p>
    <w:p>
      <w:pPr>
        <w:pStyle w:val="Normal"/>
        <w:ind w:start="720" w:end="0"/>
        <w:rPr/>
      </w:pPr>
      <w:r>
        <w:rPr/>
        <w:t>To encourage greater RTO participation by mitigating the cost shifts associated with joining the RTO and to encourage the construction of new transmission facilities, the SPG RTO will allocate the cost of existing and new transmission facilities in accordance with the following:</w:t>
      </w:r>
    </w:p>
    <w:p>
      <w:pPr>
        <w:pStyle w:val="Normal"/>
        <w:ind w:start="720" w:end="0"/>
        <w:rPr/>
      </w:pPr>
      <w:r>
        <w:rPr/>
      </w:r>
    </w:p>
    <w:p>
      <w:pPr>
        <w:pStyle w:val="OutlineStyle2"/>
        <w:numPr>
          <w:ilvl w:val="1"/>
          <w:numId w:val="2"/>
        </w:numPr>
        <w:ind w:hanging="0" w:start="0"/>
        <w:rPr/>
      </w:pPr>
      <w:r>
        <w:rPr/>
        <w:t>New Bulk Transmission Facilities</w:t>
      </w:r>
    </w:p>
    <w:p>
      <w:pPr>
        <w:pStyle w:val="Normal"/>
        <w:ind w:start="1440" w:end="0"/>
        <w:rPr/>
      </w:pPr>
      <w:r>
        <w:rPr>
          <w:lang w:val="en-CA"/>
        </w:rPr>
      </w:r>
      <w:r>
        <w:rPr>
          <w:color w:val="000000"/>
        </w:rPr>
        <w:t>Beginning Year 1 of SPG RTO operations, the cost of new Bulk Transmission Facilities</w:t>
      </w:r>
      <w:r>
        <w:rPr>
          <w:rStyle w:val="FootnoteCharacters"/>
          <w:rStyle w:val="FootnoteReference"/>
          <w:color w:val="000000"/>
        </w:rPr>
        <w:footnoteReference w:id="4"/>
      </w:r>
      <w:r>
        <w:rPr>
          <w:color w:val="000000"/>
        </w:rPr>
        <w:t xml:space="preserve"> that are not described in Section II above shall be rolled-in to the System Charge (described in Section V below).  </w:t>
      </w:r>
      <w:r>
        <w:rPr/>
        <w:t>All load taking service under the SPG RTO OATT will pay this charge.  The System Charge will apply to all such facilities that are placed in service on or after</w:t>
      </w:r>
      <w:r>
        <w:rPr>
          <w:b/>
          <w:bCs/>
        </w:rPr>
        <w:t xml:space="preserve"> </w:t>
      </w:r>
      <w:r>
        <w:rPr/>
        <w:t>a date certain to be determined.</w:t>
      </w:r>
    </w:p>
    <w:p>
      <w:pPr>
        <w:pStyle w:val="Normal"/>
        <w:ind w:start="1440" w:end="0"/>
        <w:rPr/>
      </w:pPr>
      <w:r>
        <w:rPr/>
      </w:r>
      <w:r>
        <w:br w:type="page"/>
      </w:r>
    </w:p>
    <w:p>
      <w:pPr>
        <w:pStyle w:val="OutlineStyle2"/>
        <w:numPr>
          <w:ilvl w:val="1"/>
          <w:numId w:val="2"/>
        </w:numPr>
        <w:ind w:hanging="0" w:start="0"/>
        <w:rPr/>
      </w:pPr>
      <w:r>
        <w:rPr/>
        <w:t>New Non-Bulk Transmission Facilities</w:t>
      </w:r>
    </w:p>
    <w:p>
      <w:pPr>
        <w:pStyle w:val="Normal"/>
        <w:ind w:start="1440" w:end="0"/>
        <w:rPr/>
      </w:pPr>
      <w:r>
        <w:rPr>
          <w:lang w:val="en-CA"/>
        </w:rPr>
      </w:r>
      <w:r>
        <w:rPr>
          <w:color w:val="000000"/>
        </w:rPr>
        <w:t>Beginning Year 1 of SPG RTO operations, the cost of new transmission facilities that are not Bulk Transmission Facilities ("Non-Bulk Transmission Facilities) that are not described in Section II above will be rolled-in to the Regional Charge (described in Section V below) for that region.</w:t>
      </w:r>
      <w:r>
        <w:rPr/>
        <w:t xml:space="preserve">  All load taking service within a region will pay the Regional Charge.  The Regional Charge will apply to all such facilities below that are placed in service on or after a date certain to be determined.</w:t>
      </w:r>
    </w:p>
    <w:p>
      <w:pPr>
        <w:pStyle w:val="Normal"/>
        <w:ind w:start="1440" w:end="0"/>
        <w:rPr/>
      </w:pPr>
      <w:r>
        <w:rPr/>
      </w:r>
    </w:p>
    <w:p>
      <w:pPr>
        <w:pStyle w:val="OutlineStyle2"/>
        <w:numPr>
          <w:ilvl w:val="1"/>
          <w:numId w:val="2"/>
        </w:numPr>
        <w:ind w:hanging="0" w:start="0"/>
        <w:rPr/>
      </w:pPr>
      <w:r>
        <w:rPr/>
        <w:t>Existing Transmission Facilities</w:t>
      </w:r>
    </w:p>
    <w:p>
      <w:pPr>
        <w:pStyle w:val="Normal"/>
        <w:ind w:start="1440" w:end="0"/>
        <w:rPr/>
      </w:pPr>
      <w:r>
        <w:rPr/>
        <w:t>In recognition of the fact that existing transmission facilities ("Existing Facilities") represent sunk costs, and that shifting those costs among RTO customers will tend to discourage RTO participation without achieving offsetting efficiency benefits, the SPG RTO will adopt zonal (or "license plate") transmission rates to recover the cost of Existing Facilities ("Zonal Charges").  These Zonal Charges will allocate the cost of Existing Facilities to those customers that pay those costs today.  However, to encourage participation by transmission dependent utilities ("TDUs"),</w:t>
      </w:r>
      <w:r>
        <w:rPr>
          <w:rStyle w:val="FootnoteCharacters"/>
          <w:rStyle w:val="FootnoteReference"/>
        </w:rPr>
        <w:footnoteReference w:id="5"/>
      </w:r>
      <w:r>
        <w:rPr/>
        <w:t xml:space="preserve"> which are primarily public power entities, the SPG RTO will offer to roll in the cost of TDU transmission facilities (for those facilities that are paid for only by TDU customers today) to the Zonal Charges of their host utility.  This will be accomplished pursuant to the options included in Appendix A to this Protocol.  Commitments to implement alternative transition arrangements pursuant to prior Order 2000 compliance filings will be honored.  </w:t>
      </w:r>
    </w:p>
    <w:p>
      <w:pPr>
        <w:pStyle w:val="Normal"/>
        <w:ind w:start="1440" w:end="0"/>
        <w:rPr/>
      </w:pPr>
      <w:r>
        <w:rPr/>
      </w:r>
    </w:p>
    <w:p>
      <w:pPr>
        <w:pStyle w:val="OutlineStyle1"/>
        <w:numPr>
          <w:ilvl w:val="0"/>
          <w:numId w:val="2"/>
        </w:numPr>
        <w:ind w:hanging="0" w:start="0"/>
        <w:rPr/>
      </w:pPr>
      <w:r>
        <w:rPr/>
        <w:t>RATES AND CHARGES</w:t>
      </w:r>
    </w:p>
    <w:p>
      <w:pPr>
        <w:pStyle w:val="OutlineStyle2"/>
        <w:numPr>
          <w:ilvl w:val="1"/>
          <w:numId w:val="2"/>
        </w:numPr>
        <w:ind w:hanging="0" w:start="0"/>
        <w:rPr/>
      </w:pPr>
      <w:r>
        <w:rPr/>
        <w:t>Service to Load Within the SPG RTO</w:t>
      </w:r>
    </w:p>
    <w:p>
      <w:pPr>
        <w:pStyle w:val="Normal"/>
        <w:ind w:start="1440" w:end="0"/>
        <w:rPr/>
      </w:pPr>
      <w:r>
        <w:rPr/>
        <w:t>The following represent the pricing protocols and related charges applicable to serving load within the SPG RTO.  Such load may be served with either Network Service or PTP Service.  As explained further below, load within the SPG RTO, whether Network or into or within PTP, will pay a (i) Zonal Charge, (ii)  Regional Charge, (iii) System Charge, and (iv) Grid Management Charge.  These charges will be designed using consistent allocation methods such that there is no double recovery of costs within two or more charges.</w:t>
      </w:r>
    </w:p>
    <w:p>
      <w:pPr>
        <w:pStyle w:val="Normal"/>
        <w:ind w:start="1440" w:end="0"/>
        <w:rPr/>
      </w:pPr>
      <w:r>
        <w:rPr/>
      </w:r>
    </w:p>
    <w:p>
      <w:pPr>
        <w:pStyle w:val="OutlineStyle3"/>
        <w:numPr>
          <w:ilvl w:val="2"/>
          <w:numId w:val="2"/>
        </w:numPr>
        <w:ind w:hanging="0" w:start="0"/>
        <w:rPr/>
      </w:pPr>
      <w:r>
        <w:rPr/>
        <w:t>Zonal Charge for Existing Facilities</w:t>
      </w:r>
      <w:r>
        <w:rPr>
          <w:rStyle w:val="FootnoteCharacters"/>
          <w:rStyle w:val="FootnoteReference"/>
        </w:rPr>
        <w:footnoteReference w:id="6"/>
      </w:r>
      <w:r>
        <w:rPr/>
        <w:t xml:space="preserve"> </w:t>
      </w:r>
    </w:p>
    <w:p>
      <w:pPr>
        <w:pStyle w:val="OutlineStyle4"/>
        <w:numPr>
          <w:ilvl w:val="3"/>
          <w:numId w:val="2"/>
        </w:numPr>
        <w:ind w:hanging="0" w:start="0"/>
        <w:rPr/>
      </w:pPr>
      <w:r>
        <w:rPr/>
        <w:t>Definition of Zones</w:t>
      </w:r>
    </w:p>
    <w:p>
      <w:pPr>
        <w:pStyle w:val="Normal"/>
        <w:ind w:start="2880" w:end="0"/>
        <w:rPr/>
      </w:pPr>
      <w:r>
        <w:rPr>
          <w:lang w:val="en-CA"/>
        </w:rPr>
      </w:r>
      <w:r>
        <w:rPr/>
        <w:t>The revenue requirements of Existing Facilities shall initially be recovered through Zonal Charges applied to all load taking delivery within a Participant’s zone.</w:t>
      </w:r>
      <w:r>
        <w:rPr>
          <w:rStyle w:val="FootnoteCharacters"/>
          <w:rStyle w:val="FootnoteReference"/>
        </w:rPr>
        <w:footnoteReference w:id="7"/>
      </w:r>
      <w:r>
        <w:rPr/>
        <w:t xml:space="preserve">  </w:t>
      </w:r>
      <w:r>
        <w:rPr>
          <w:color w:val="000000"/>
        </w:rPr>
        <w:t>Each Region will develop a definition of zones that will be applied consistently throughout the region.</w:t>
      </w:r>
      <w:r>
        <w:rPr>
          <w:rStyle w:val="FootnoteCharacters"/>
          <w:rStyle w:val="FootnoteReference"/>
          <w:color w:val="000000"/>
        </w:rPr>
        <w:footnoteReference w:id="8"/>
      </w:r>
      <w:r>
        <w:rPr>
          <w:color w:val="000000"/>
        </w:rPr>
        <w:t xml:space="preserve">   In Florida, the zones in the GridFlorida compliance filing, which were approved by the Commission, will be used.</w:t>
      </w:r>
    </w:p>
    <w:p>
      <w:pPr>
        <w:pStyle w:val="Normal"/>
        <w:ind w:start="2880" w:end="0"/>
        <w:rPr>
          <w:color w:val="000000"/>
        </w:rPr>
      </w:pPr>
      <w:r>
        <w:rPr>
          <w:color w:val="000000"/>
        </w:rPr>
      </w:r>
    </w:p>
    <w:p>
      <w:pPr>
        <w:pStyle w:val="OutlineStyle4"/>
        <w:numPr>
          <w:ilvl w:val="3"/>
          <w:numId w:val="2"/>
        </w:numPr>
        <w:ind w:hanging="0" w:start="0"/>
        <w:rPr/>
      </w:pPr>
      <w:r>
        <w:rPr/>
        <w:t>Payment of Zonal Charges</w:t>
      </w:r>
    </w:p>
    <w:p>
      <w:pPr>
        <w:pStyle w:val="Normal"/>
        <w:keepLines/>
        <w:ind w:start="2880" w:end="0"/>
        <w:rPr>
          <w:color w:val="000000"/>
        </w:rPr>
      </w:pPr>
      <w:r>
        <w:rPr>
          <w:color w:val="000000"/>
        </w:rPr>
        <w:t xml:space="preserve">Customers taking delivery within a zone shall pay the Zonal Charge (whether PTP or Network Service) for that zone.  If a customer has load in two or more zones, the loads within each zone will pay the Zonal Charge for the zone in which the load takes delivery. </w:t>
      </w:r>
    </w:p>
    <w:p>
      <w:pPr>
        <w:pStyle w:val="Normal"/>
        <w:rPr>
          <w:color w:val="000000"/>
        </w:rPr>
      </w:pPr>
      <w:r>
        <w:rPr>
          <w:color w:val="000000"/>
        </w:rPr>
      </w:r>
    </w:p>
    <w:p>
      <w:pPr>
        <w:pStyle w:val="OutlineStyle4"/>
        <w:numPr>
          <w:ilvl w:val="3"/>
          <w:numId w:val="2"/>
        </w:numPr>
        <w:ind w:hanging="0" w:start="0"/>
        <w:rPr/>
      </w:pPr>
      <w:r>
        <w:rPr/>
        <w:t>Recovery of Zonal Charges</w:t>
      </w:r>
    </w:p>
    <w:p>
      <w:pPr>
        <w:pStyle w:val="Normal"/>
        <w:ind w:start="2880" w:end="0"/>
        <w:rPr>
          <w:color w:val="000000"/>
        </w:rPr>
      </w:pPr>
      <w:r>
        <w:rPr>
          <w:color w:val="000000"/>
        </w:rPr>
        <w:t xml:space="preserve">Zonal Charges shall include (i) charges for the use of the Existing Facilities of the Participant that forms the zone, plus (ii) charges for the use of the Existing Facilities of any TDU within that zone that joins the SPG RTO, subject to the phase-in plan described below. The charge of each Participant to the SPG RTO shall be developed through an agreed-upon methodology (such as use of an existing, FERC-approved/accepted rate or a formula) or other settlement or, that failing, through a formal FERC filing. </w:t>
      </w:r>
    </w:p>
    <w:p>
      <w:pPr>
        <w:pStyle w:val="Normal"/>
        <w:keepNext w:val="true"/>
        <w:rPr>
          <w:color w:val="000000"/>
        </w:rPr>
      </w:pPr>
      <w:r>
        <w:rPr>
          <w:color w:val="000000"/>
        </w:rPr>
      </w:r>
    </w:p>
    <w:p>
      <w:pPr>
        <w:pStyle w:val="OutlineStyle4"/>
        <w:numPr>
          <w:ilvl w:val="3"/>
          <w:numId w:val="2"/>
        </w:numPr>
        <w:ind w:hanging="0" w:start="0"/>
        <w:rPr/>
      </w:pPr>
      <w:r>
        <w:rPr/>
        <w:t>Phase-In of TDU Facilities</w:t>
      </w:r>
    </w:p>
    <w:p>
      <w:pPr>
        <w:pStyle w:val="Normal"/>
        <w:ind w:start="2880" w:end="0"/>
        <w:rPr/>
      </w:pPr>
      <w:r>
        <w:rPr>
          <w:color w:val="000000"/>
        </w:rPr>
        <w:t>A Participant that is a TDU, and purchases Network Service, may request compensation for its transmission facilities under one of two options.</w:t>
      </w:r>
      <w:r>
        <w:rPr>
          <w:rStyle w:val="FootnoteCharacters"/>
          <w:rStyle w:val="FootnoteReference"/>
          <w:color w:val="000000"/>
        </w:rPr>
        <w:footnoteReference w:id="9"/>
      </w:r>
      <w:r>
        <w:rPr>
          <w:color w:val="000000"/>
        </w:rPr>
        <w:t xml:space="preserve">  The first option is a five-year phase-in plan under which all customers within the zone (including the TDU's customers) will pay an additional 20% of the TDU's revenue requirement each year.  The second option provides the TDU the opportunity to demonstrate that its facilities are fully integrated under Order No. 888 and, if so, achieve an immediate roll-in of those facilities into its zone.  A TDU must make a one-time election of one of these two options, which are described in more detail in Appendix A. </w:t>
      </w:r>
      <w:r>
        <w:rPr/>
        <w:t xml:space="preserve">Commitments to implement alternative transition arrangements pursuant to prior Order 2000 compliance filings will be honored.  </w:t>
      </w:r>
    </w:p>
    <w:p>
      <w:pPr>
        <w:pStyle w:val="Normal"/>
        <w:keepLines/>
        <w:ind w:start="2880" w:end="0"/>
        <w:rPr>
          <w:color w:val="000000"/>
        </w:rPr>
      </w:pPr>
      <w:r>
        <w:rPr>
          <w:color w:val="000000"/>
        </w:rPr>
      </w:r>
    </w:p>
    <w:p>
      <w:pPr>
        <w:pStyle w:val="OutlineStyle4"/>
        <w:keepNext w:val="true"/>
        <w:keepLines/>
        <w:numPr>
          <w:ilvl w:val="3"/>
          <w:numId w:val="2"/>
        </w:numPr>
        <w:ind w:hanging="0" w:start="0"/>
        <w:rPr/>
      </w:pPr>
      <w:r>
        <w:rPr/>
        <w:t>Implementing Regional Postage Stamp Rate</w:t>
      </w:r>
    </w:p>
    <w:p>
      <w:pPr>
        <w:pStyle w:val="Normal"/>
        <w:ind w:start="2880" w:end="0"/>
        <w:rPr/>
      </w:pPr>
      <w:r>
        <w:rPr/>
        <w:t>Each region shall develop a plan to implement a region-wide postage stamp rate by no later than year 10 of RTO operations.  Commitments to implement alternative transition arrangements pursuant to prior Order 2000 compliance filings will be honored.</w:t>
      </w:r>
      <w:r>
        <w:rPr>
          <w:rStyle w:val="FootnoteCharacters"/>
          <w:rStyle w:val="FootnoteReference"/>
        </w:rPr>
        <w:footnoteReference w:id="10"/>
      </w:r>
    </w:p>
    <w:p>
      <w:pPr>
        <w:pStyle w:val="Normal"/>
        <w:rPr/>
      </w:pPr>
      <w:r>
        <w:rPr/>
      </w:r>
    </w:p>
    <w:p>
      <w:pPr>
        <w:pStyle w:val="OutlineStyle3"/>
        <w:numPr>
          <w:ilvl w:val="2"/>
          <w:numId w:val="2"/>
        </w:numPr>
        <w:ind w:hanging="0" w:start="0"/>
        <w:rPr/>
      </w:pPr>
      <w:r>
        <w:rPr/>
        <w:t>Regional Charge for New Non-Bulk Transmission Facilities</w:t>
      </w:r>
    </w:p>
    <w:p>
      <w:pPr>
        <w:pStyle w:val="OutlineStyle4"/>
        <w:numPr>
          <w:ilvl w:val="3"/>
          <w:numId w:val="2"/>
        </w:numPr>
        <w:ind w:hanging="0" w:start="0"/>
        <w:rPr/>
      </w:pPr>
      <w:r>
        <w:rPr/>
        <w:t>General</w:t>
      </w:r>
    </w:p>
    <w:p>
      <w:pPr>
        <w:pStyle w:val="Normal"/>
        <w:ind w:start="2880" w:end="0"/>
        <w:rPr/>
      </w:pPr>
      <w:r>
        <w:rPr/>
        <w:t>Beginning Year 1 of RTO operations, there will be four Regional Charges to recover the cost of N</w:t>
      </w:r>
      <w:r>
        <w:rPr>
          <w:color w:val="000000"/>
        </w:rPr>
        <w:t>on-Bulk Transmission Facilities that are not described in Section II above</w:t>
      </w:r>
      <w:r>
        <w:rPr/>
        <w:t>.  The Regional Charge shall be paid by all load within the region.</w:t>
      </w:r>
    </w:p>
    <w:p>
      <w:pPr>
        <w:pStyle w:val="Normal"/>
        <w:ind w:start="2880" w:end="0"/>
        <w:rPr/>
      </w:pPr>
      <w:r>
        <w:rPr/>
      </w:r>
      <w:r>
        <w:br w:type="page"/>
      </w:r>
    </w:p>
    <w:p>
      <w:pPr>
        <w:pStyle w:val="OutlineStyle4"/>
        <w:numPr>
          <w:ilvl w:val="3"/>
          <w:numId w:val="2"/>
        </w:numPr>
        <w:ind w:hanging="0" w:start="0"/>
        <w:rPr/>
      </w:pPr>
      <w:r>
        <w:rPr/>
        <w:t>Definition of Regions</w:t>
      </w:r>
    </w:p>
    <w:p>
      <w:pPr>
        <w:pStyle w:val="Normal"/>
        <w:ind w:start="2880" w:end="0"/>
        <w:rPr/>
      </w:pPr>
      <w:r>
        <w:rPr/>
        <w:t>There shall be four regions within SPG RTO--SeTrans, Entergy, GridSouth and GridFlorida.  The SeTrans region shall consist of the Southern Company Operating Companies and the nonjurisdictional transmission owners that are interconnected with Southern and that have supported the SeTrans proposal, including Santee Cooper, City of Tallahassee, Georgia Transmission Company, JEA, Municipal Electric Authority of Georgia, Central Electric Cooperative, SMEPA and the City of Dalton.  The GridSouth region shall include the three applicants in the GridSouth RTO proposal and any TDU Participants located within the territories served by those companies.  The GridFlorida region shall include the three applicants in the GridFlorida RTO proposal and such other entities located in peninsular Florida that join SPG RTO, with the exception of any of the participants in SeTrans indicated above.  The Entergy region shall include the Entergy Operating Companies and such other Participants that join SPG RTO that are interconnected to Entergy and not located within the other three regions.</w:t>
      </w:r>
    </w:p>
    <w:p>
      <w:pPr>
        <w:pStyle w:val="Normal"/>
        <w:ind w:start="2880" w:end="0"/>
        <w:rPr/>
      </w:pPr>
      <w:r>
        <w:rPr/>
      </w:r>
    </w:p>
    <w:p>
      <w:pPr>
        <w:pStyle w:val="OutlineStyle4"/>
        <w:numPr>
          <w:ilvl w:val="3"/>
          <w:numId w:val="2"/>
        </w:numPr>
        <w:ind w:hanging="0" w:start="0"/>
        <w:rPr/>
      </w:pPr>
      <w:r>
        <w:rPr/>
        <w:t>Phase-In to RTO-Wide Rate</w:t>
      </w:r>
    </w:p>
    <w:p>
      <w:pPr>
        <w:pStyle w:val="Normal"/>
        <w:ind w:start="2880" w:end="0"/>
        <w:rPr/>
      </w:pPr>
      <w:r>
        <w:rPr/>
        <w:t>After Year 10 of RTO operations, the SPG RTO may propose a transition plan, with consideration for any appropriate cost shift mitigation, to phase together the four Regional Charges into the System Charge.</w:t>
      </w:r>
    </w:p>
    <w:p>
      <w:pPr>
        <w:pStyle w:val="Normal"/>
        <w:rPr/>
      </w:pPr>
      <w:r>
        <w:rPr/>
      </w:r>
    </w:p>
    <w:p>
      <w:pPr>
        <w:pStyle w:val="OutlineStyle3"/>
        <w:numPr>
          <w:ilvl w:val="2"/>
          <w:numId w:val="2"/>
        </w:numPr>
        <w:ind w:hanging="0" w:start="0"/>
        <w:rPr/>
      </w:pPr>
      <w:r>
        <w:rPr/>
        <w:t>System Charge for New Bulk Transmission Facilities</w:t>
      </w:r>
    </w:p>
    <w:p>
      <w:pPr>
        <w:pStyle w:val="Normal"/>
        <w:ind w:start="2160" w:end="0"/>
        <w:rPr/>
      </w:pPr>
      <w:r>
        <w:rPr/>
        <w:t xml:space="preserve">Beginning Year 1 of RTO operations, Bulk Transmission Facilities </w:t>
      </w:r>
      <w:r>
        <w:rPr>
          <w:color w:val="000000"/>
        </w:rPr>
        <w:t>that are not described in Section II above</w:t>
      </w:r>
      <w:r>
        <w:rPr/>
        <w:t xml:space="preserve"> shall be recovered through an RTO-wide System Charge.   The System Charge shall be paid by all load in the SPG RTO.</w:t>
      </w:r>
    </w:p>
    <w:p>
      <w:pPr>
        <w:pStyle w:val="Normal"/>
        <w:ind w:start="2160" w:end="0"/>
        <w:rPr/>
      </w:pPr>
      <w:r>
        <w:rPr/>
      </w:r>
    </w:p>
    <w:p>
      <w:pPr>
        <w:pStyle w:val="OutlineStyle2"/>
        <w:numPr>
          <w:ilvl w:val="1"/>
          <w:numId w:val="2"/>
        </w:numPr>
        <w:ind w:hanging="0" w:start="0"/>
        <w:rPr/>
      </w:pPr>
      <w:r>
        <w:rPr/>
        <w:t>Postage Stamp Rates for "Through" and "Out" Service</w:t>
      </w:r>
    </w:p>
    <w:p>
      <w:pPr>
        <w:pStyle w:val="Normal"/>
        <w:ind w:start="1440" w:end="0"/>
        <w:rPr/>
      </w:pPr>
      <w:r>
        <w:rPr>
          <w:lang w:val="en-CA"/>
        </w:rPr>
        <w:t xml:space="preserve">The SPG RTO </w:t>
      </w:r>
      <w:r>
        <w:rPr>
          <w:lang w:val="en-CA"/>
        </w:rPr>
      </w:r>
      <w:r>
        <w:rPr>
          <w:color w:val="000000"/>
        </w:rPr>
        <w:t xml:space="preserve">shall develop a system average postage stamp PTP charge for service “through and out” of the RTO (“T&amp;O Service”).  The charges shall include the revenue requirements of all transmission facilities owned or controlled by SPG RTO, including Existing Facilities, facilities included in the System Charge, and facilities included in the Regional Charges.  </w:t>
      </w:r>
    </w:p>
    <w:p>
      <w:pPr>
        <w:pStyle w:val="Normal"/>
        <w:ind w:start="1440" w:end="0"/>
        <w:rPr>
          <w:color w:val="000000"/>
        </w:rPr>
      </w:pPr>
      <w:r>
        <w:rPr>
          <w:color w:val="000000"/>
        </w:rPr>
      </w:r>
      <w:r>
        <w:br w:type="page"/>
      </w:r>
    </w:p>
    <w:p>
      <w:pPr>
        <w:pStyle w:val="OutlineStyle2"/>
        <w:numPr>
          <w:ilvl w:val="1"/>
          <w:numId w:val="2"/>
        </w:numPr>
        <w:ind w:hanging="0" w:start="0"/>
        <w:rPr/>
      </w:pPr>
      <w:r>
        <w:rPr/>
        <w:t>Grid Management Charge</w:t>
      </w:r>
    </w:p>
    <w:p>
      <w:pPr>
        <w:pStyle w:val="Normal"/>
        <w:ind w:start="1440" w:end="0"/>
        <w:rPr/>
      </w:pPr>
      <w:r>
        <w:rPr>
          <w:lang w:val="en-CA"/>
        </w:rPr>
      </w:r>
      <w:r>
        <w:rPr>
          <w:lang w:val="en-CA"/>
        </w:rPr>
      </w:r>
      <w:r>
        <w:rPr>
          <w:color w:val="000000"/>
        </w:rPr>
        <w:t>A Grid Management Charge (“GMC”) will be assessed on all transmission service, including T&amp;O Service.  The GMC shall recover the administrative and general costs of SPG RTO that are associated with the planning, operation, maintenance and other functions (</w:t>
      </w:r>
      <w:r>
        <w:rPr>
          <w:i/>
          <w:iCs/>
          <w:color w:val="000000"/>
        </w:rPr>
        <w:t>e.g.</w:t>
      </w:r>
      <w:r>
        <w:rPr>
          <w:color w:val="000000"/>
        </w:rPr>
        <w:t>, market monitoring, IMA, and start up costs) of the RTO that are performed for the benefit of all RTO customers and that are not recovered through other charges.</w:t>
      </w:r>
    </w:p>
    <w:p>
      <w:pPr>
        <w:pStyle w:val="Normal"/>
        <w:ind w:start="1440" w:end="0"/>
        <w:rPr>
          <w:color w:val="000000"/>
        </w:rPr>
      </w:pPr>
      <w:r>
        <w:rPr>
          <w:color w:val="000000"/>
        </w:rPr>
      </w:r>
    </w:p>
    <w:p>
      <w:pPr>
        <w:pStyle w:val="OutlineStyle2"/>
        <w:numPr>
          <w:ilvl w:val="1"/>
          <w:numId w:val="2"/>
        </w:numPr>
        <w:ind w:hanging="0" w:start="0"/>
        <w:rPr/>
      </w:pPr>
      <w:r>
        <w:rPr/>
        <w:t>Exceeded Reservations</w:t>
      </w:r>
    </w:p>
    <w:p>
      <w:pPr>
        <w:pStyle w:val="Normal"/>
        <w:ind w:start="1440" w:end="0"/>
        <w:rPr/>
      </w:pPr>
      <w:r>
        <w:rPr>
          <w:color w:val="000000"/>
        </w:rPr>
        <w:t>Except for hourly non-firm service, when actual PTP service provided to a customer exceeds its reservation, the customer's reserved capacity shall be increased by the amount of the excess for the entire term of the transmission service.  For hourly non-firm PTP service, the customer shall be charged 200 percent of the hourly charge</w:t>
      </w:r>
      <w:r>
        <w:rPr>
          <w:b/>
          <w:bCs/>
          <w:color w:val="000000"/>
        </w:rPr>
        <w:t xml:space="preserve"> </w:t>
      </w:r>
      <w:r>
        <w:rPr>
          <w:color w:val="000000"/>
        </w:rPr>
        <w:t>for the amount that actual service exceeds the customer's reservation.</w:t>
      </w:r>
    </w:p>
    <w:p>
      <w:pPr>
        <w:pStyle w:val="Normal"/>
        <w:ind w:start="2880" w:end="0"/>
        <w:rPr>
          <w:color w:val="000000"/>
        </w:rPr>
      </w:pPr>
      <w:r>
        <w:rPr>
          <w:color w:val="000000"/>
        </w:rPr>
      </w:r>
    </w:p>
    <w:p>
      <w:pPr>
        <w:pStyle w:val="OutlineStyle1"/>
        <w:numPr>
          <w:ilvl w:val="0"/>
          <w:numId w:val="2"/>
        </w:numPr>
        <w:ind w:hanging="0" w:start="0"/>
        <w:rPr/>
      </w:pPr>
      <w:r>
        <w:rPr/>
        <w:t>EXISTING TRANSMISSION AGREEMENTS</w:t>
      </w:r>
    </w:p>
    <w:p>
      <w:pPr>
        <w:pStyle w:val="Normal"/>
        <w:ind w:start="720" w:end="0"/>
        <w:rPr/>
      </w:pPr>
      <w:r>
        <w:rPr/>
        <w:t>ETAs are transmission contracts entered into prior to the date of commercial operations of the SPG RTO.  The following protocols (other than Section IV.E) shall apply to transmission agreements entered into prior to July 12, 2001, including, but not limited to, agreements entered into prior to Order No. 888 providing bundled or unbundled transmission service, agreements entered into under a Participant's Order No. 888 OATT, interconnection agreements, interchange agreements, and interface allocation agreements.</w:t>
      </w:r>
    </w:p>
    <w:p>
      <w:pPr>
        <w:pStyle w:val="Normal"/>
        <w:ind w:start="720" w:end="0"/>
        <w:rPr/>
      </w:pPr>
      <w:r>
        <w:rPr/>
      </w:r>
    </w:p>
    <w:p>
      <w:pPr>
        <w:pStyle w:val="OutlineStyle2"/>
        <w:numPr>
          <w:ilvl w:val="1"/>
          <w:numId w:val="2"/>
        </w:numPr>
        <w:ind w:hanging="0" w:start="0"/>
        <w:rPr/>
      </w:pPr>
      <w:r>
        <w:rPr/>
        <w:t>General Rule</w:t>
      </w:r>
    </w:p>
    <w:p>
      <w:pPr>
        <w:pStyle w:val="Normal"/>
        <w:ind w:start="1440" w:end="0"/>
        <w:rPr/>
      </w:pPr>
      <w:r>
        <w:rPr>
          <w:lang w:val="en-CA"/>
        </w:rPr>
      </w:r>
      <w:r>
        <w:rPr>
          <w:color w:val="000000"/>
        </w:rPr>
        <w:t>The formation of SPG RTO does not require the generic abrogation of ETAs.  Parties to ETAs may, however, exercise whatever Section 205 and 206 rights they may have to convert such agreements to RTO service or to amend such contracts to facilitate the operation of the RTO grid.  The SPG RTO may, pursuant to Section 206, propose an amendment to any non-rate term or condition of an ETA that adversely affects its ability to administer the RTO OATT or its operation of the grid.</w:t>
      </w:r>
    </w:p>
    <w:p>
      <w:pPr>
        <w:pStyle w:val="Normal"/>
        <w:rPr/>
      </w:pPr>
      <w:r>
        <w:rPr/>
      </w:r>
    </w:p>
    <w:p>
      <w:pPr>
        <w:pStyle w:val="OutlineStyle2"/>
        <w:numPr>
          <w:ilvl w:val="1"/>
          <w:numId w:val="2"/>
        </w:numPr>
        <w:ind w:hanging="0" w:start="0"/>
        <w:rPr/>
      </w:pPr>
      <w:r>
        <w:rPr>
          <w:lang w:val="en-CA"/>
        </w:rPr>
      </w:r>
      <w:r>
        <w:rPr/>
        <w:t xml:space="preserve">Conversion to RTO Service.  </w:t>
      </w:r>
    </w:p>
    <w:p>
      <w:pPr>
        <w:pStyle w:val="Normal"/>
        <w:tabs>
          <w:tab w:val="left" w:pos="720" w:leader="none"/>
          <w:tab w:val="left" w:pos="1440" w:leader="none"/>
          <w:tab w:val="left" w:pos="2160" w:leader="none"/>
          <w:tab w:val="left" w:pos="2880" w:leader="none"/>
        </w:tabs>
        <w:ind w:start="1440" w:end="0"/>
        <w:rPr/>
      </w:pPr>
      <w:r>
        <w:rPr>
          <w:color w:val="000000"/>
        </w:rPr>
        <w:t>Subject to Subsection D hereof, a party to an ETA may, consistent with its Section 205 or 206 rights, seek to have its ETA converted to service under the SPG RTO OATT.  “Conversion” shall mean, for these purposes, that (a) the customer, following Conversion, shall take and pay for service pursuant to the SPG RTO OATT and shall receive whatever rights, and assume whatever obligations, are associated with that service, and (b) the provider of transmission service shall cease collecting revenues under the ETA and shall no longer bear any responsibility, or hold any rights, with respect to such ETA.</w:t>
      </w:r>
      <w:r>
        <w:rPr>
          <w:rStyle w:val="FootnoteCharacters"/>
          <w:rStyle w:val="FootnoteReference"/>
          <w:color w:val="000000"/>
        </w:rPr>
        <w:footnoteReference w:id="11"/>
      </w:r>
      <w:r>
        <w:rPr>
          <w:color w:val="000000"/>
        </w:rPr>
        <w:t xml:space="preserve">  After Conversion of the ETA to SPG RTO service, the transmission service portions of the ETA shall terminate.</w:t>
      </w:r>
    </w:p>
    <w:p>
      <w:pPr>
        <w:pStyle w:val="Normal"/>
        <w:rPr>
          <w:color w:val="000000"/>
        </w:rPr>
      </w:pPr>
      <w:r>
        <w:rPr>
          <w:color w:val="000000"/>
        </w:rPr>
      </w:r>
    </w:p>
    <w:p>
      <w:pPr>
        <w:pStyle w:val="OutlineStyle2"/>
        <w:numPr>
          <w:ilvl w:val="1"/>
          <w:numId w:val="2"/>
        </w:numPr>
        <w:ind w:hanging="0" w:start="0"/>
        <w:rPr/>
      </w:pPr>
      <w:r>
        <w:rPr/>
        <w:t>Unconverted ETAs</w:t>
      </w:r>
    </w:p>
    <w:p>
      <w:pPr>
        <w:pStyle w:val="Normal"/>
        <w:ind w:start="1440" w:end="0"/>
        <w:rPr>
          <w:color w:val="000000"/>
        </w:rPr>
      </w:pPr>
      <w:r>
        <w:rPr>
          <w:color w:val="000000"/>
        </w:rPr>
        <w:t>The following rules shall apply to an ETA that has not been converted to RTO service.</w:t>
      </w:r>
    </w:p>
    <w:p>
      <w:pPr>
        <w:pStyle w:val="Normal"/>
        <w:rPr>
          <w:color w:val="000000"/>
        </w:rPr>
      </w:pPr>
      <w:r>
        <w:rPr>
          <w:color w:val="000000"/>
        </w:rPr>
        <w:tab/>
      </w:r>
    </w:p>
    <w:p>
      <w:pPr>
        <w:pStyle w:val="OutlineStyle3"/>
        <w:numPr>
          <w:ilvl w:val="2"/>
          <w:numId w:val="2"/>
        </w:numPr>
        <w:ind w:hanging="0" w:start="0"/>
        <w:rPr/>
      </w:pPr>
      <w:r>
        <w:rPr/>
        <w:t xml:space="preserve">The Participant that, prior to SPG RTO operations, was the transmission provider under the ETA (for these purposes, the “Seller”) shall be responsible for procuring, and paying for, any necessary services from the SPG RTO to perform its obligations under the ETA.  The Seller shall have the sole rights, and associated obligations, to any service that is so procured. </w:t>
      </w:r>
    </w:p>
    <w:p>
      <w:pPr>
        <w:pStyle w:val="OutlineStyle3"/>
        <w:numPr>
          <w:ilvl w:val="2"/>
          <w:numId w:val="2"/>
        </w:numPr>
        <w:ind w:hanging="0" w:start="0"/>
        <w:rPr/>
      </w:pPr>
      <w:r>
        <w:rPr/>
        <w:t>In procuring service under the SPG RTO OATT pursuant to subparagraph (C.1), Seller shall be responsible for reconciling the differences, if any, between scheduling and other protocols set forth in its ETAs and those in the SPG RTO OATT or, alternatively, for seeking an amendment, pursuant to Section 205 or 206, to eliminate those differences.</w:t>
      </w:r>
    </w:p>
    <w:p>
      <w:pPr>
        <w:pStyle w:val="OutlineStyle3"/>
        <w:numPr>
          <w:ilvl w:val="2"/>
          <w:numId w:val="2"/>
        </w:numPr>
        <w:ind w:hanging="0" w:start="0"/>
        <w:rPr/>
      </w:pPr>
      <w:r>
        <w:rPr/>
        <w:t xml:space="preserve">If, in meeting its obligations to perform under the ETA, the Seller incurs additional costs from SPG RTO, the Seller may, consistent with its Section 205 or 206 rights, seek to recover such costs from the customer through an amendment to the ETA. </w:t>
      </w:r>
    </w:p>
    <w:p>
      <w:pPr>
        <w:pStyle w:val="OutlineStyle3"/>
        <w:numPr>
          <w:ilvl w:val="2"/>
          <w:numId w:val="2"/>
        </w:numPr>
        <w:ind w:hanging="0" w:start="0"/>
        <w:rPr/>
      </w:pPr>
      <w:r>
        <w:rPr/>
        <w:t>The transmission customer under the ETA shall pay to the Seller all amounts due under the ETA and all such payments shall be retained by the Seller.</w:t>
      </w:r>
    </w:p>
    <w:p>
      <w:pPr>
        <w:pStyle w:val="OutlineStyle2"/>
        <w:numPr>
          <w:ilvl w:val="1"/>
          <w:numId w:val="2"/>
        </w:numPr>
        <w:ind w:hanging="0" w:start="0"/>
        <w:rPr/>
      </w:pPr>
      <w:r>
        <w:rPr>
          <w:lang w:val="en-CA"/>
        </w:rPr>
      </w:r>
      <w:r>
        <w:rPr/>
        <w:t>Transition Period for Certain Agreements</w:t>
      </w:r>
    </w:p>
    <w:p>
      <w:pPr>
        <w:pStyle w:val="Normal"/>
        <w:tabs>
          <w:tab w:val="left" w:pos="720" w:leader="none"/>
          <w:tab w:val="left" w:pos="1440" w:leader="none"/>
          <w:tab w:val="left" w:pos="2160" w:leader="none"/>
        </w:tabs>
        <w:ind w:start="1440" w:end="0"/>
        <w:rPr>
          <w:color w:val="000000"/>
        </w:rPr>
      </w:pPr>
      <w:r>
        <w:rPr>
          <w:color w:val="000000"/>
        </w:rPr>
        <w:t>To mitigate cost shifts associated with the transition to regional transmission rates, ETAs that provide long-term Inter-Zonal Service</w:t>
      </w:r>
      <w:r>
        <w:rPr>
          <w:rStyle w:val="FootnoteCharacters"/>
          <w:rStyle w:val="FootnoteReference"/>
          <w:color w:val="000000"/>
        </w:rPr>
        <w:footnoteReference w:id="12"/>
      </w:r>
      <w:r>
        <w:rPr>
          <w:color w:val="000000"/>
        </w:rPr>
        <w:t xml:space="preserve"> shall be subject to the following rules, as approved by FERC for GridFlorida.  However, </w:t>
      </w:r>
      <w:r>
        <w:rPr/>
        <w:t>commitments to implement alternative transition arrangements pursuant to prior Order 2000 compliance filings will be honored.</w:t>
      </w:r>
    </w:p>
    <w:p>
      <w:pPr>
        <w:pStyle w:val="Normal"/>
        <w:tabs>
          <w:tab w:val="left" w:pos="720" w:leader="none"/>
          <w:tab w:val="left" w:pos="1440" w:leader="none"/>
          <w:tab w:val="left" w:pos="2160" w:leader="none"/>
        </w:tabs>
        <w:ind w:start="1440" w:end="0"/>
        <w:rPr>
          <w:color w:val="000000"/>
        </w:rPr>
      </w:pPr>
      <w:r>
        <w:rPr>
          <w:color w:val="000000"/>
        </w:rPr>
      </w:r>
    </w:p>
    <w:p>
      <w:pPr>
        <w:pStyle w:val="OutlineStyle3"/>
        <w:numPr>
          <w:ilvl w:val="2"/>
          <w:numId w:val="2"/>
        </w:numPr>
        <w:ind w:hanging="0" w:start="0"/>
        <w:rPr/>
      </w:pPr>
      <w:r>
        <w:rPr/>
        <w:t>The transmission charges levied under the ETA shall remain in effect during Years 1-5 of SPG RTO operations and shall be phased out in equal increments (20% per year) over Years 6-10 of SPG RTO operations to the extent the ETA remains in effect as of those dates.  If the ETA does not separately state its transmission charges (</w:t>
      </w:r>
      <w:r>
        <w:rPr>
          <w:i/>
          <w:iCs/>
        </w:rPr>
        <w:t>i.e.</w:t>
      </w:r>
      <w:r>
        <w:rPr/>
        <w:t>, the contract constitutes a bundled sale), the phase-out of charges shall be calculated by reference to the Zonal Charge in effect in Year 5 (the last year a full Zonal Charge remains in effect) of the Participant that was providing Inter-Zonal Service prior to RTO formation.</w:t>
      </w:r>
    </w:p>
    <w:p>
      <w:pPr>
        <w:pStyle w:val="OutlineStyle3"/>
        <w:numPr>
          <w:ilvl w:val="2"/>
          <w:numId w:val="2"/>
        </w:numPr>
        <w:ind w:hanging="0" w:start="0"/>
        <w:rPr/>
      </w:pPr>
      <w:r>
        <w:rPr/>
        <w:t xml:space="preserve">The revenues from such ETA shall be retained by the Participant providing the service.  </w:t>
      </w:r>
    </w:p>
    <w:p>
      <w:pPr>
        <w:pStyle w:val="OutlineStyle3"/>
        <w:numPr>
          <w:ilvl w:val="2"/>
          <w:numId w:val="2"/>
        </w:numPr>
        <w:ind w:hanging="0" w:start="0"/>
        <w:rPr/>
      </w:pPr>
      <w:r>
        <w:rPr/>
        <w:t>If a customer terminates such an ETA during the first ten years of RTO operations, the SPG RTO shall provide service to that customer at the Zonal Charge for PTP of the Participant that provided transmission service under the contract.  The revenue from the Zonal Charge for PTP shall be distributed to the Participant providing the service.  (This rule does not apply to contracts that expire on a date certain fixed in the contract.)</w:t>
      </w:r>
    </w:p>
    <w:p>
      <w:pPr>
        <w:pStyle w:val="OutlineStyle3"/>
        <w:numPr>
          <w:ilvl w:val="2"/>
          <w:numId w:val="2"/>
        </w:numPr>
        <w:ind w:hanging="0" w:start="0"/>
        <w:rPr/>
      </w:pPr>
      <w:r>
        <w:rPr/>
        <w:t>Participants will propose a mechanism or mechanisms to mitigate for the loss of short term and non-firm pancake revenues.  For example, such a proposal was made in the GridFlorida filing and was approved by the Commission.</w:t>
      </w:r>
    </w:p>
    <w:p>
      <w:pPr>
        <w:pStyle w:val="OutlineStyle2"/>
        <w:numPr>
          <w:ilvl w:val="1"/>
          <w:numId w:val="2"/>
        </w:numPr>
        <w:ind w:hanging="0" w:start="0"/>
        <w:rPr/>
      </w:pPr>
      <w:r>
        <w:rPr/>
        <w:t xml:space="preserve">Rules Applicable to New Service </w:t>
      </w:r>
    </w:p>
    <w:p>
      <w:pPr>
        <w:pStyle w:val="OutlineStyle3"/>
        <w:numPr>
          <w:ilvl w:val="2"/>
          <w:numId w:val="2"/>
        </w:numPr>
        <w:ind w:hanging="0" w:start="0"/>
        <w:rPr/>
      </w:pPr>
      <w:r>
        <w:rPr/>
        <w:t>New Long-Term Arrangements</w:t>
      </w:r>
    </w:p>
    <w:p>
      <w:pPr>
        <w:pStyle w:val="Normal"/>
        <w:ind w:start="2160" w:end="0"/>
        <w:rPr>
          <w:color w:val="000000"/>
        </w:rPr>
      </w:pPr>
      <w:r>
        <w:rPr>
          <w:color w:val="000000"/>
        </w:rPr>
        <w:t>If after July 12, 2001 a Participant enters into any new transmission service agreement, or agrees to purchase or provide long-term transmission service under an ETA executed prior to that date, the new service provided under such ETA shall be converted to SPG RTO service upon the commencement of RTO operations.  “Long-term transmission service” shall mean any service for more than one year.  For all new generator interconnection agreements entered into after July 12, 2001, the RTO shall become an additional signatory to such agreement.</w:t>
      </w:r>
    </w:p>
    <w:p>
      <w:pPr>
        <w:pStyle w:val="Normal"/>
        <w:rPr>
          <w:color w:val="000000"/>
        </w:rPr>
      </w:pPr>
      <w:r>
        <w:rPr>
          <w:color w:val="000000"/>
        </w:rPr>
      </w:r>
    </w:p>
    <w:p>
      <w:pPr>
        <w:pStyle w:val="OutlineStyle3"/>
        <w:numPr>
          <w:ilvl w:val="2"/>
          <w:numId w:val="2"/>
        </w:numPr>
        <w:ind w:hanging="0" w:start="0"/>
        <w:rPr/>
      </w:pPr>
      <w:r>
        <w:rPr/>
        <w:t>New Short-Term Arrangements</w:t>
      </w:r>
    </w:p>
    <w:p>
      <w:pPr>
        <w:pStyle w:val="Normal"/>
        <w:ind w:start="2160" w:end="0"/>
        <w:rPr>
          <w:color w:val="000000"/>
        </w:rPr>
      </w:pPr>
      <w:r>
        <w:rPr>
          <w:color w:val="000000"/>
        </w:rPr>
        <w:t>If after July 12, 2001 a Participant agrees to provide, or to purchase, short-term firm and nonfirm service that has a term that extends beyond the date of SPG RTO operations, that service shall convert to SPG RTO service upon the commencement of SPG RTO operations.  “Short-term transmission service” shall mean any service with a term of one year or less.</w:t>
      </w:r>
    </w:p>
    <w:p>
      <w:pPr>
        <w:pStyle w:val="Normal"/>
        <w:rPr>
          <w:color w:val="000000"/>
        </w:rPr>
      </w:pPr>
      <w:r>
        <w:rPr>
          <w:color w:val="000000"/>
        </w:rPr>
      </w:r>
    </w:p>
    <w:p>
      <w:pPr>
        <w:pStyle w:val="OutlineStyle3"/>
        <w:numPr>
          <w:ilvl w:val="2"/>
          <w:numId w:val="2"/>
        </w:numPr>
        <w:ind w:hanging="0" w:start="0"/>
        <w:rPr/>
      </w:pPr>
      <w:r>
        <w:rPr/>
        <w:t>Conversion Procedures</w:t>
      </w:r>
    </w:p>
    <w:p>
      <w:pPr>
        <w:pStyle w:val="Normal"/>
        <w:ind w:start="2160" w:end="0"/>
        <w:rPr/>
      </w:pPr>
      <w:r>
        <w:rPr>
          <w:color w:val="000000"/>
        </w:rPr>
        <w:t>The Participant that enters into any agreement described in Subsections E(1) and (2) shall cooperate with SPG RTO to develop appropriate procedures to provide for the orderly conversion of service to the SPG RTO OATT, including, but not limited to, billing the customer on a</w:t>
      </w:r>
      <w:r>
        <w:rPr>
          <w:i/>
          <w:iCs/>
          <w:color w:val="000000"/>
        </w:rPr>
        <w:t xml:space="preserve"> pro rata</w:t>
      </w:r>
      <w:r>
        <w:rPr>
          <w:color w:val="000000"/>
        </w:rPr>
        <w:t xml:space="preserve"> basis to ensure that the customer is not double charged for service during the billing cycle that includes the start date for SPG RTO operations.</w:t>
      </w:r>
    </w:p>
    <w:p>
      <w:pPr>
        <w:pStyle w:val="Normal"/>
        <w:ind w:start="1440" w:end="0"/>
        <w:rPr>
          <w:color w:val="000000"/>
        </w:rPr>
      </w:pPr>
      <w:r>
        <w:rPr>
          <w:color w:val="000000"/>
        </w:rPr>
      </w:r>
      <w:r>
        <w:br w:type="page"/>
      </w:r>
    </w:p>
    <w:p>
      <w:pPr>
        <w:pStyle w:val="OutlineStyle3"/>
        <w:numPr>
          <w:ilvl w:val="0"/>
          <w:numId w:val="0"/>
        </w:numPr>
        <w:ind w:hanging="0" w:start="0"/>
        <w:jc w:val="center"/>
        <w:rPr>
          <w:b/>
          <w:bCs w:val="false"/>
        </w:rPr>
      </w:pPr>
      <w:r>
        <w:rPr>
          <w:b/>
          <w:bCs w:val="false"/>
        </w:rPr>
        <w:t>APPENDIX A</w:t>
      </w:r>
    </w:p>
    <w:p>
      <w:pPr>
        <w:pStyle w:val="Normal"/>
        <w:jc w:val="center"/>
        <w:rPr>
          <w:b/>
          <w:bCs/>
          <w:color w:val="000000"/>
        </w:rPr>
      </w:pPr>
      <w:r>
        <w:rPr>
          <w:b/>
          <w:bCs/>
          <w:color w:val="000000"/>
        </w:rPr>
        <w:t>PHASE-IN OF TDU FACILITIES</w:t>
      </w:r>
    </w:p>
    <w:p>
      <w:pPr>
        <w:pStyle w:val="Normal"/>
        <w:jc w:val="center"/>
        <w:rPr>
          <w:b/>
          <w:bCs/>
          <w:color w:val="000000"/>
        </w:rPr>
      </w:pPr>
      <w:r>
        <w:rPr>
          <w:b/>
          <w:bCs/>
          <w:color w:val="000000"/>
        </w:rPr>
      </w:r>
    </w:p>
    <w:p>
      <w:pPr>
        <w:pStyle w:val="Normal"/>
        <w:rPr/>
      </w:pPr>
      <w:r>
        <w:rPr>
          <w:b/>
          <w:bCs/>
          <w:color w:val="000000"/>
        </w:rPr>
        <w:tab/>
      </w:r>
      <w:r>
        <w:rPr>
          <w:color w:val="000000"/>
        </w:rPr>
        <w:t xml:space="preserve">To encourage RTO participation by TDUs, a TDU may, using one of the following two options, roll the cost of its transmission facilities, which prior to RTO formation were borne solely by TDU load, into the charges applicable to other customers within the zone of the host utility. </w:t>
      </w:r>
    </w:p>
    <w:p>
      <w:pPr>
        <w:pStyle w:val="Normal"/>
        <w:rPr>
          <w:color w:val="000000"/>
        </w:rPr>
      </w:pPr>
      <w:r>
        <w:rPr>
          <w:color w:val="000000"/>
        </w:rPr>
      </w:r>
    </w:p>
    <w:p>
      <w:pPr>
        <w:pStyle w:val="Normal"/>
        <w:tabs>
          <w:tab w:val="left" w:pos="720" w:leader="none"/>
          <w:tab w:val="left" w:pos="1440" w:leader="none"/>
          <w:tab w:val="left" w:pos="2160" w:leader="none"/>
        </w:tabs>
        <w:ind w:hanging="2160" w:start="2160" w:end="0"/>
        <w:rPr>
          <w:color w:val="000000"/>
        </w:rPr>
      </w:pPr>
      <w:r>
        <w:rPr>
          <w:color w:val="000000"/>
        </w:rPr>
        <w:tab/>
        <w:tab/>
      </w:r>
      <w:r>
        <w:rPr>
          <w:b/>
          <w:bCs/>
          <w:color w:val="000000"/>
        </w:rPr>
        <w:t>1.</w:t>
        <w:tab/>
        <w:t>Option 1 – Phase-In Plan</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s>
        <w:ind w:hanging="2880" w:start="2880" w:end="0"/>
        <w:rPr>
          <w:color w:val="000000"/>
        </w:rPr>
      </w:pPr>
      <w:r>
        <w:rPr>
          <w:color w:val="000000"/>
        </w:rPr>
        <w:tab/>
        <w:tab/>
        <w:tab/>
        <w:t>a.</w:t>
        <w:tab/>
        <w:t>Commencing in the first year of RTO operations, and continuing each year during a five-year phase-in plan, 20% of the revenue requirement of the TDU's Existing Facilities shall be recovered through Zonal Charges from all load within the zone of the host utility.  The TDU customers shall continue to bear the portion of its revenue requirements not yet credited.</w:t>
      </w:r>
      <w:r>
        <w:rPr>
          <w:rStyle w:val="FootnoteCharacters"/>
          <w:rStyle w:val="FootnoteReference"/>
          <w:color w:val="000000"/>
        </w:rPr>
        <w:footnoteReference w:id="13"/>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s>
        <w:ind w:hanging="2880" w:start="2880" w:end="0"/>
        <w:rPr>
          <w:color w:val="000000"/>
        </w:rPr>
      </w:pPr>
      <w:r>
        <w:rPr>
          <w:color w:val="000000"/>
        </w:rPr>
        <w:tab/>
        <w:tab/>
        <w:tab/>
        <w:t>b.</w:t>
        <w:tab/>
        <w:t>Credits shall apply only to those facilities that the Operation and Planning Protocols define as transmission facilities.  The TDU's transmission revenue requirement for those facilities would be agreed to through a settlement or, that failing, be filed with FERC for its approval.  TDUs that do not turn over ownership or operational control of their facilities shall not be eligible for credits.</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s>
        <w:ind w:hanging="1440" w:start="2880" w:end="0"/>
        <w:rPr>
          <w:color w:val="000000"/>
        </w:rPr>
      </w:pPr>
      <w:r>
        <w:rPr>
          <w:color w:val="000000"/>
        </w:rPr>
        <w:tab/>
        <w:t>c.</w:t>
        <w:tab/>
        <w:t xml:space="preserve">To the extent a TDU, or an association of TDUs, have loads and facilities that are dispersed throughout more than one zone, the affected transmission owners comprising such zones shall negotiate an appropriate sharing of the costs of the TDU facilities within those zones.  An example is the allocation of TDU facilities of Florida Municipal Power Agency (“FMPA”) and Seminole Electric Cooperative, Inc. (“SECI”) between the Florida Power &amp; Light Co. and Florida Power Corp. zones proposed in the GridFlorida RTO filing, Docket No. RT01-67-000.  </w:t>
      </w:r>
    </w:p>
    <w:p>
      <w:pPr>
        <w:pStyle w:val="Normal"/>
        <w:rPr>
          <w:color w:val="000000"/>
        </w:rPr>
      </w:pPr>
      <w:r>
        <w:rPr>
          <w:color w:val="000000"/>
        </w:rPr>
      </w:r>
    </w:p>
    <w:p>
      <w:pPr>
        <w:pStyle w:val="Normal"/>
        <w:keepNext w:val="true"/>
        <w:keepLines/>
        <w:tabs>
          <w:tab w:val="left" w:pos="720" w:leader="none"/>
          <w:tab w:val="left" w:pos="1440" w:leader="none"/>
          <w:tab w:val="left" w:pos="2160" w:leader="none"/>
        </w:tabs>
        <w:ind w:hanging="2160" w:start="2160" w:end="0"/>
        <w:rPr>
          <w:color w:val="000000"/>
        </w:rPr>
      </w:pPr>
      <w:r>
        <w:rPr>
          <w:color w:val="000000"/>
        </w:rPr>
        <w:tab/>
        <w:tab/>
      </w:r>
      <w:r>
        <w:rPr>
          <w:b/>
          <w:bCs/>
          <w:color w:val="000000"/>
        </w:rPr>
        <w:t>2.</w:t>
        <w:tab/>
        <w:t>Option 2 – Meeting the Integration Standard</w:t>
      </w:r>
    </w:p>
    <w:p>
      <w:pPr>
        <w:pStyle w:val="Normal"/>
        <w:keepNext w:val="true"/>
        <w:keepLines/>
        <w:rPr>
          <w:color w:val="000000"/>
        </w:rPr>
      </w:pPr>
      <w:r>
        <w:rPr>
          <w:color w:val="000000"/>
        </w:rPr>
      </w:r>
    </w:p>
    <w:p>
      <w:pPr>
        <w:pStyle w:val="Normal"/>
        <w:keepNext w:val="true"/>
        <w:keepLines/>
        <w:ind w:start="2160" w:end="0"/>
        <w:rPr>
          <w:color w:val="000000"/>
        </w:rPr>
      </w:pPr>
      <w:r>
        <w:rPr>
          <w:color w:val="000000"/>
        </w:rPr>
        <w:t>TDUs selecting Option 2 shall receive full credit for all their transmission facilities that meet the integration standard under Order No 888.  Order No. 888, FERC Stats. &amp; Regs. ¶ 31,036 at 31,742 (1996); see also Pro Forma Tariff § 30.9.  To meet this standard, a TDU must demonstrate that its “facilities [are] not only . . . integrated with the transmission provider’s system, but . . . also provide additional benefits to the transmission grid in terms of capability and reliability, and be relied upon for the coordinated operation of the grid.”  Order No. 888-A, FERC Stats. &amp; Regs. ¶ 31,048 at 30,271 (1997).  A TDU electing this option must submit appropriate documentation to FERC regarding whether its facilities meet that test.  The FERC shall then, after appropriate procedures, determine whether all, some or none of the customer’s facilities meet the test.  Facilities that meet the test shall receive full credit; facilities that do not shall receive no credit.</w:t>
      </w:r>
    </w:p>
    <w:p>
      <w:pPr>
        <w:pStyle w:val="Normal"/>
        <w:rPr>
          <w:color w:val="000000"/>
        </w:rPr>
      </w:pPr>
      <w:r>
        <w:rPr>
          <w:color w:val="000000"/>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13</w:t>
    </w:r>
    <w:r>
      <w:rPr/>
      <w:fldChar w:fldCharType="end"/>
    </w:r>
  </w:p>
  <w:p>
    <w:pPr>
      <w:pStyle w:val="Normal"/>
      <w:ind w:end="-14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44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Certain participants have pending appeals related to the Commission's requirement that they purchase transmission service under the RTO OATT to serve their bundled retail native load customers and unconverted existing transmission agreements.  This Strawman in no way constitutes a waiver of any such appellate rights or signals a willingness voluntarily to place retail load under the RTO OATT.   Regardless of the outcome of the appeal, all load will be served under the terms and conditions of the OATT, and charges to all other load for transmission will not be impacted by whether or how entities pay for transmission service on behalf of retail load and unconverted existing transmission agreements.</w:t>
      </w:r>
    </w:p>
  </w:footnote>
  <w:footnote w:id="3">
    <w:p>
      <w:pPr>
        <w:pStyle w:val="FootnoteText"/>
        <w:spacing w:before="0" w:after="120"/>
        <w:ind w:hanging="360" w:start="360" w:end="0"/>
        <w:rPr/>
      </w:pPr>
      <w:r>
        <w:rPr>
          <w:rStyle w:val="FootnoteCharacters"/>
        </w:rPr>
        <w:footnoteRef/>
      </w:r>
      <w:r>
        <w:rPr/>
        <w:t xml:space="preserve"> </w:t>
      </w:r>
      <w:r>
        <w:rPr/>
        <w:tab/>
        <w:t>In Florida, all transmission facilities 69 kV and above will be under the control of the SPG RTO and included in rates.  This approach was adopted for GridFlorida and approved by the Commission.</w:t>
      </w:r>
    </w:p>
  </w:footnote>
  <w:footnote w:id="4">
    <w:p>
      <w:pPr>
        <w:pStyle w:val="FootnoteText"/>
        <w:spacing w:before="0" w:after="120"/>
        <w:ind w:hanging="360" w:start="360" w:end="0"/>
        <w:rPr/>
      </w:pPr>
      <w:r>
        <w:rPr>
          <w:rStyle w:val="FootnoteCharacters"/>
        </w:rPr>
        <w:footnoteRef/>
      </w:r>
      <w:r>
        <w:rPr/>
        <w:t xml:space="preserve"> </w:t>
      </w:r>
      <w:r>
        <w:rPr/>
        <w:tab/>
        <w:t>The facilities that should be considered Bulk Transmission Facilities and those that should be considered Non-Bulk Transmission Facilities (discussed immediately below) should be addressed further.</w:t>
      </w:r>
    </w:p>
  </w:footnote>
  <w:footnote w:id="5">
    <w:p>
      <w:pPr>
        <w:pStyle w:val="FootnoteText"/>
        <w:spacing w:before="0" w:after="120"/>
        <w:ind w:hanging="360" w:start="360" w:end="0"/>
        <w:rPr/>
      </w:pPr>
      <w:r>
        <w:rPr>
          <w:rStyle w:val="FootnoteCharacters"/>
        </w:rPr>
        <w:footnoteRef/>
      </w:r>
      <w:r>
        <w:rPr/>
        <w:t xml:space="preserve"> </w:t>
      </w:r>
      <w:r>
        <w:rPr/>
        <w:tab/>
        <w:t>The definition of TDUs is to be determined by each region.  In Florida, the definition of TDUs in the GridFlorida compliance filing, which has been approved by the Commission, will be used.</w:t>
      </w:r>
    </w:p>
  </w:footnote>
  <w:footnote w:id="6">
    <w:p>
      <w:pPr>
        <w:pStyle w:val="FootnoteText"/>
        <w:spacing w:before="0" w:after="120"/>
        <w:ind w:hanging="360" w:start="360" w:end="0"/>
        <w:rPr/>
      </w:pPr>
      <w:r>
        <w:rPr>
          <w:rStyle w:val="FootnoteCharacters"/>
        </w:rPr>
        <w:footnoteRef/>
      </w:r>
      <w:r>
        <w:rPr/>
        <w:t xml:space="preserve"> </w:t>
      </w:r>
      <w:r>
        <w:rPr/>
        <w:tab/>
        <w:t>The Zonal Charges reflect the manner in which transmission access charges are assessed; they do not necessarily define zones for purposes of determining congestion or ancillary services charges.</w:t>
      </w:r>
    </w:p>
  </w:footnote>
  <w:footnote w:id="7">
    <w:p>
      <w:pPr>
        <w:pStyle w:val="FootnoteText"/>
        <w:spacing w:before="0" w:after="120"/>
        <w:ind w:hanging="360" w:start="360" w:end="0"/>
        <w:rPr/>
      </w:pPr>
      <w:r>
        <w:rPr>
          <w:rStyle w:val="FootnoteCharacters"/>
        </w:rPr>
        <w:footnoteRef/>
      </w:r>
      <w:r>
        <w:rPr/>
        <w:t xml:space="preserve"> </w:t>
      </w:r>
      <w:r>
        <w:rPr/>
        <w:tab/>
        <w:t>A Participant can either be a transmission owner that sells its transmission facilities to the SPG RTO or a transmission owner, including an Independent Transmission Company ("ITC"), that transfers operational control of its facilities to the SPG RTO, but, in either event, must subject all of its Transmission Facilities to SPG RTO's control.</w:t>
      </w:r>
    </w:p>
  </w:footnote>
  <w:footnote w:id="8">
    <w:p>
      <w:pPr>
        <w:pStyle w:val="Normal"/>
        <w:spacing w:before="0" w:after="240"/>
        <w:ind w:hanging="360" w:start="360" w:end="0"/>
        <w:rPr/>
      </w:pPr>
      <w:r>
        <w:rPr>
          <w:rStyle w:val="FootnoteCharacters"/>
        </w:rPr>
        <w:footnoteRef/>
      </w:r>
      <w:r>
        <w:rPr/>
        <w:t xml:space="preserve"> </w:t>
      </w:r>
      <w:r>
        <w:rPr/>
        <w:tab/>
        <w:t>However, zonal boundaries will apply regardless of the means by which an entity joins SPG RTO (</w:t>
      </w:r>
      <w:r>
        <w:rPr>
          <w:i/>
          <w:iCs/>
        </w:rPr>
        <w:t>i.e.</w:t>
      </w:r>
      <w:r>
        <w:rPr/>
        <w:t>, whether the entity sells its facilities to SPG RTO or transfers only operational control).  Thus, two Participants will not be required to combine their zones if they both sell their facilities to SPG RTO.  This will eliminate disincentives to sell facilities and provide comparable treatment of Participants that sell and those that do not.</w:t>
      </w:r>
    </w:p>
  </w:footnote>
  <w:footnote w:id="9">
    <w:p>
      <w:pPr>
        <w:pStyle w:val="FootnoteText"/>
        <w:spacing w:before="0" w:after="120"/>
        <w:ind w:hanging="360" w:start="360" w:end="0"/>
        <w:rPr/>
      </w:pPr>
      <w:r>
        <w:rPr>
          <w:rStyle w:val="FootnoteCharacters"/>
        </w:rPr>
        <w:footnoteRef/>
      </w:r>
      <w:r>
        <w:rPr/>
        <w:t xml:space="preserve"> </w:t>
      </w:r>
      <w:r>
        <w:rPr/>
        <w:tab/>
        <w:t>This compensation plan is available to any Participant that is a TDU, regardless of whether the TDU sells its facilities to the RTO or turns over operational control of them to the RTO.</w:t>
      </w:r>
    </w:p>
  </w:footnote>
  <w:footnote w:id="10">
    <w:p>
      <w:pPr>
        <w:pStyle w:val="FootnoteText"/>
        <w:spacing w:before="0" w:after="120"/>
        <w:ind w:hanging="360" w:start="360" w:end="0"/>
        <w:rPr/>
      </w:pPr>
      <w:r>
        <w:rPr>
          <w:rStyle w:val="FootnoteCharacters"/>
        </w:rPr>
        <w:footnoteRef/>
      </w:r>
      <w:r>
        <w:rPr/>
        <w:t xml:space="preserve"> </w:t>
      </w:r>
      <w:r>
        <w:rPr/>
        <w:tab/>
        <w:t>In Florida, the methodology included in the GridFlorida compliance filing for the phase-in to regional average rates, which was approved by the Commission, will be used.</w:t>
      </w:r>
    </w:p>
  </w:footnote>
  <w:footnote w:id="11">
    <w:p>
      <w:pPr>
        <w:pStyle w:val="FootnoteText"/>
        <w:spacing w:before="0" w:after="120"/>
        <w:ind w:hanging="360" w:start="360" w:end="0"/>
        <w:rPr/>
      </w:pPr>
      <w:r>
        <w:rPr>
          <w:rStyle w:val="FootnoteCharacters"/>
        </w:rPr>
        <w:footnoteRef/>
      </w:r>
      <w:r>
        <w:rPr/>
        <w:t xml:space="preserve"> </w:t>
      </w:r>
      <w:r>
        <w:rPr/>
        <w:tab/>
        <w:t>In the event the ETA includes provisions under which a third party is authorized to connect facilities to a transmission owner's facilities, the RTO shall become an additional signatory to the agreement and the transmission owner shall retain all rights and obligations it may have with respect to the interconnection of facilities to its system.</w:t>
      </w:r>
    </w:p>
  </w:footnote>
  <w:footnote w:id="12">
    <w:p>
      <w:pPr>
        <w:pStyle w:val="FootnoteText"/>
        <w:spacing w:before="0" w:after="120"/>
        <w:ind w:hanging="360" w:start="360" w:end="0"/>
        <w:rPr/>
      </w:pPr>
      <w:r>
        <w:rPr>
          <w:rStyle w:val="FootnoteCharacters"/>
        </w:rPr>
        <w:footnoteRef/>
      </w:r>
      <w:r>
        <w:rPr/>
        <w:t xml:space="preserve"> </w:t>
      </w:r>
      <w:r>
        <w:rPr/>
        <w:tab/>
        <w:t>Inter-Zonal Service is defined, for these purposes, as transmission service from one zone to another, where the same customer bears transmission charges in both zones.  If more than one customer pays a transmission access charge to deliver the power from source to sink, the transmission access charges associated with the zone in which the load is not located and all intervening zones shall be phased out in Years 6-10, consistent with this Protocol, only if all parties to the transaction agree that the load consuming the power will receive, on a dollar-for-dollar basis, the reduction in transmission access charges.</w:t>
      </w:r>
    </w:p>
  </w:footnote>
  <w:footnote w:id="13">
    <w:p>
      <w:pPr>
        <w:pStyle w:val="FootnoteText"/>
        <w:spacing w:before="0" w:after="120"/>
        <w:ind w:hanging="360" w:start="360" w:end="0"/>
        <w:rPr/>
      </w:pPr>
      <w:r>
        <w:rPr>
          <w:rStyle w:val="FootnoteCharacters"/>
        </w:rPr>
        <w:footnoteRef/>
      </w:r>
      <w:r>
        <w:rPr/>
        <w:t xml:space="preserve"> </w:t>
      </w:r>
      <w:r>
        <w:rPr/>
        <w:tab/>
        <w:t>If the TDU sells its facilities to SPG RTO, the TDU shall be paid the agreed upon amount (</w:t>
      </w:r>
      <w:r>
        <w:rPr>
          <w:i/>
          <w:iCs/>
        </w:rPr>
        <w:t>e.g.</w:t>
      </w:r>
      <w:r>
        <w:rPr/>
        <w:t>, net book value) for its facilities.  SPG RTO shall recover the revenue requirement for those facilities through Zonal Charges (for the portion phased into Zonal Charges) and through a direct assignment charge to the TDU (for the portion not yet phased into Zonal Charges).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t>Privileged and Confidential</w:t>
    </w:r>
  </w:p>
  <w:p>
    <w:pPr>
      <w:pStyle w:val="Header"/>
      <w:jc w:val="end"/>
      <w:rPr>
        <w:i/>
        <w:i/>
        <w:iCs/>
        <w:sz w:val="20"/>
      </w:rPr>
    </w:pPr>
    <w:r>
      <w:rPr>
        <w:i/>
        <w:iCs/>
        <w:sz w:val="20"/>
      </w:rPr>
      <w:t>Subject to FERC Rule 606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t>Privileged and Confidential</w:t>
    </w:r>
  </w:p>
  <w:p>
    <w:pPr>
      <w:pStyle w:val="Header"/>
      <w:jc w:val="end"/>
      <w:rPr>
        <w:i/>
        <w:i/>
        <w:iCs/>
        <w:sz w:val="20"/>
      </w:rPr>
    </w:pPr>
    <w:r>
      <w:rPr>
        <w:i/>
        <w:iCs/>
        <w:sz w:val="20"/>
      </w:rPr>
      <w:t>Subject to FERC Rule 606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abstractNum>
  <w:abstractNum w:abstractNumId="2">
    <w:lvl w:ilvl="0">
      <w:start w:val="1"/>
      <w:numFmt w:val="upperRoman"/>
      <w:lvlText w:val="%1."/>
      <w:lvlJc w:val="start"/>
      <w:pPr>
        <w:tabs>
          <w:tab w:val="num" w:pos="720"/>
        </w:tabs>
        <w:ind w:start="720" w:hanging="720"/>
      </w:pPr>
      <w:rPr>
        <w:color w:val="000000"/>
      </w:rPr>
    </w:lvl>
    <w:lvl w:ilvl="1">
      <w:start w:val="1"/>
      <w:numFmt w:val="upperLetter"/>
      <w:lvlText w:val="%2."/>
      <w:lvlJc w:val="start"/>
      <w:pPr>
        <w:tabs>
          <w:tab w:val="num" w:pos="1440"/>
        </w:tabs>
        <w:ind w:start="1440" w:hanging="720"/>
      </w:pPr>
      <w:rPr>
        <w:color w:val="000000"/>
      </w:rPr>
    </w:lvl>
    <w:lvl w:ilvl="2">
      <w:start w:val="1"/>
      <w:numFmt w:val="decimal"/>
      <w:lvlText w:val="%3."/>
      <w:lvlJc w:val="start"/>
      <w:pPr>
        <w:tabs>
          <w:tab w:val="num" w:pos="2160"/>
        </w:tabs>
        <w:ind w:start="2160" w:hanging="720"/>
      </w:pPr>
      <w:rPr>
        <w:color w:val="000000"/>
      </w:rPr>
    </w:lvl>
    <w:lvl w:ilvl="3">
      <w:start w:val="1"/>
      <w:numFmt w:val="lowerLetter"/>
      <w:lvlText w:val="(%4)"/>
      <w:lvlJc w:val="start"/>
      <w:pPr>
        <w:tabs>
          <w:tab w:val="num" w:pos="2880"/>
        </w:tabs>
        <w:ind w:start="2880" w:hanging="720"/>
      </w:pPr>
      <w:rPr>
        <w:color w:val="000000"/>
      </w:rPr>
    </w:lvl>
    <w:lvl w:ilvl="4">
      <w:start w:val="1"/>
      <w:numFmt w:val="lowerRoman"/>
      <w:lvlText w:val="(%5)"/>
      <w:lvlJc w:val="start"/>
      <w:pPr>
        <w:tabs>
          <w:tab w:val="num" w:pos="3600"/>
        </w:tabs>
        <w:ind w:start="3600" w:hanging="720"/>
      </w:pPr>
      <w:rPr>
        <w:color w:val="000000"/>
      </w:rPr>
    </w:lvl>
    <w:lvl w:ilvl="5">
      <w:start w:val="1"/>
      <w:numFmt w:val="decimal"/>
      <w:lvlText w:val="(%6)"/>
      <w:lvlJc w:val="start"/>
      <w:pPr>
        <w:tabs>
          <w:tab w:val="num" w:pos="4320"/>
        </w:tabs>
        <w:ind w:start="4320" w:hanging="720"/>
      </w:pPr>
      <w:rPr>
        <w:color w:val="000000"/>
      </w:rPr>
    </w:lvl>
    <w:lvl w:ilvl="6">
      <w:start w:val="1"/>
      <w:numFmt w:val="upperLetter"/>
      <w:lvlText w:val="(%7)"/>
      <w:lvlJc w:val="start"/>
      <w:pPr>
        <w:tabs>
          <w:tab w:val="num" w:pos="5040"/>
        </w:tabs>
        <w:ind w:start="5040" w:hanging="720"/>
      </w:pPr>
      <w:rPr>
        <w:color w:val="000000"/>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color w:val="000000"/>
    </w:rPr>
  </w:style>
  <w:style w:type="character" w:styleId="WW8Num5z0">
    <w:name w:val="WW8Num5z0"/>
    <w:qFormat/>
    <w:rPr>
      <w:color w:val="000000"/>
    </w:rPr>
  </w:style>
  <w:style w:type="character" w:styleId="WW8Num5z6">
    <w:name w:val="WW8Num5z6"/>
    <w:qFormat/>
    <w:rPr/>
  </w:style>
  <w:style w:type="character" w:styleId="DefaultParagraphFont">
    <w:name w:val="Default Paragraph Font"/>
    <w:qFormat/>
    <w:rPr/>
  </w:style>
  <w:style w:type="character" w:styleId="PageNumber">
    <w:name w:val="page number"/>
    <w:basedOn w:val="DefaultParagraphFont"/>
    <w:rPr/>
  </w:style>
  <w:style w:type="character" w:styleId="TOCMark">
    <w:name w:val="TOC_Mark"/>
    <w:basedOn w:val="DefaultParagraphFont"/>
    <w:qFormat/>
    <w:rPr>
      <w:vanish/>
      <w:color w:val="FF0000"/>
    </w:rPr>
  </w:style>
  <w:style w:type="character" w:styleId="FootnoteCharacters">
    <w:name w:val="Footnote Characters"/>
    <w:basedOn w:val="DefaultParagraphFont"/>
    <w:qFormat/>
    <w:rPr>
      <w:vertAlign w:val="superscrip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Numberedoutline">
    <w:name w:val="Numbered outline"/>
    <w:basedOn w:val="Normal"/>
    <w:qFormat/>
    <w:pPr>
      <w:numPr>
        <w:ilvl w:val="0"/>
        <w:numId w:val="1"/>
      </w:numPr>
      <w:tabs>
        <w:tab w:val="clear" w:pos="720"/>
        <w:tab w:val="left" w:pos="1440" w:leader="none"/>
      </w:tabs>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3"/>
      </w:numPr>
      <w:spacing w:before="0" w:after="240"/>
      <w:outlineLvl w:val="0"/>
    </w:pPr>
    <w:rPr/>
  </w:style>
  <w:style w:type="paragraph" w:styleId="Default2">
    <w:name w:val="Default2"/>
    <w:basedOn w:val="Normal"/>
    <w:qFormat/>
    <w:pPr>
      <w:numPr>
        <w:ilvl w:val="0"/>
        <w:numId w:val="3"/>
      </w:numPr>
      <w:spacing w:before="0" w:after="240"/>
      <w:outlineLvl w:val="1"/>
    </w:pPr>
    <w:rPr/>
  </w:style>
  <w:style w:type="paragraph" w:styleId="Default3">
    <w:name w:val="Default3"/>
    <w:basedOn w:val="Normal"/>
    <w:qFormat/>
    <w:pPr>
      <w:numPr>
        <w:ilvl w:val="0"/>
        <w:numId w:val="3"/>
      </w:numPr>
      <w:tabs>
        <w:tab w:val="clear" w:pos="720"/>
      </w:tabs>
      <w:spacing w:before="0" w:after="240"/>
      <w:outlineLvl w:val="2"/>
    </w:pPr>
    <w:rPr/>
  </w:style>
  <w:style w:type="paragraph" w:styleId="Default4">
    <w:name w:val="Default4"/>
    <w:basedOn w:val="Normal"/>
    <w:qFormat/>
    <w:pPr>
      <w:numPr>
        <w:ilvl w:val="0"/>
        <w:numId w:val="3"/>
      </w:numPr>
      <w:spacing w:before="0" w:after="240"/>
      <w:ind w:hanging="720" w:start="2880" w:end="0"/>
      <w:outlineLvl w:val="3"/>
    </w:pPr>
    <w:rPr/>
  </w:style>
  <w:style w:type="paragraph" w:styleId="Default5">
    <w:name w:val="Default5"/>
    <w:basedOn w:val="Normal"/>
    <w:qFormat/>
    <w:pPr>
      <w:numPr>
        <w:ilvl w:val="0"/>
        <w:numId w:val="3"/>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OutlineStyle1">
    <w:name w:val="OutlineStyle1"/>
    <w:basedOn w:val="Normal"/>
    <w:next w:val="Normal"/>
    <w:qFormat/>
    <w:pPr>
      <w:numPr>
        <w:ilvl w:val="0"/>
        <w:numId w:val="2"/>
      </w:numPr>
      <w:spacing w:before="0" w:after="240"/>
      <w:outlineLvl w:val="0"/>
    </w:pPr>
    <w:rPr>
      <w:b/>
      <w:bCs/>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bCs/>
      <w:color w:val="auto"/>
      <w:sz w:val="15"/>
      <w:szCs w:val="20"/>
      <w:lang w:val="en-US" w:bidi="ar-SA" w:eastAsia="zh-CN"/>
    </w:rPr>
  </w:style>
  <w:style w:type="paragraph" w:styleId="OutlineStyle2">
    <w:name w:val="OutlineStyle2"/>
    <w:basedOn w:val="Normal"/>
    <w:qFormat/>
    <w:pPr>
      <w:numPr>
        <w:ilvl w:val="0"/>
        <w:numId w:val="2"/>
      </w:numPr>
      <w:spacing w:before="0" w:after="240"/>
      <w:outlineLvl w:val="1"/>
    </w:pPr>
    <w:rPr>
      <w:bCs/>
      <w:color w:val="000000"/>
    </w:rPr>
  </w:style>
  <w:style w:type="paragraph" w:styleId="OutlineStyle3">
    <w:name w:val="OutlineStyle3"/>
    <w:basedOn w:val="Normal"/>
    <w:qFormat/>
    <w:pPr>
      <w:numPr>
        <w:ilvl w:val="0"/>
        <w:numId w:val="2"/>
      </w:numPr>
      <w:spacing w:before="0" w:after="240"/>
      <w:outlineLvl w:val="2"/>
    </w:pPr>
    <w:rPr>
      <w:bCs/>
      <w:color w:val="000000"/>
    </w:rPr>
  </w:style>
  <w:style w:type="paragraph" w:styleId="OutlineStyle4">
    <w:name w:val="OutlineStyle4"/>
    <w:basedOn w:val="Normal"/>
    <w:qFormat/>
    <w:pPr>
      <w:numPr>
        <w:ilvl w:val="0"/>
        <w:numId w:val="2"/>
      </w:numPr>
      <w:spacing w:before="0" w:after="240"/>
      <w:outlineLvl w:val="3"/>
    </w:pPr>
    <w:rPr>
      <w:bCs/>
      <w:color w:val="000000"/>
    </w:rPr>
  </w:style>
  <w:style w:type="paragraph" w:styleId="OutlineStyle5">
    <w:name w:val="OutlineStyle5"/>
    <w:basedOn w:val="Normal"/>
    <w:qFormat/>
    <w:pPr>
      <w:numPr>
        <w:ilvl w:val="0"/>
        <w:numId w:val="2"/>
      </w:numPr>
      <w:spacing w:before="0" w:after="240"/>
      <w:outlineLvl w:val="4"/>
    </w:pPr>
    <w:rPr>
      <w:bCs/>
      <w:color w:val="000000"/>
    </w:rPr>
  </w:style>
  <w:style w:type="paragraph" w:styleId="OutlineStyle6">
    <w:name w:val="OutlineStyle6"/>
    <w:basedOn w:val="Normal"/>
    <w:qFormat/>
    <w:pPr>
      <w:numPr>
        <w:ilvl w:val="0"/>
        <w:numId w:val="2"/>
      </w:numPr>
      <w:spacing w:before="0" w:after="240"/>
      <w:outlineLvl w:val="5"/>
    </w:pPr>
    <w:rPr>
      <w:bCs/>
      <w:color w:val="000000"/>
    </w:rPr>
  </w:style>
  <w:style w:type="paragraph" w:styleId="OutlineStyle7">
    <w:name w:val="OutlineStyle7"/>
    <w:basedOn w:val="Normal"/>
    <w:qFormat/>
    <w:pPr>
      <w:numPr>
        <w:ilvl w:val="0"/>
        <w:numId w:val="2"/>
      </w:numPr>
      <w:spacing w:before="0" w:after="240"/>
      <w:outlineLvl w:val="6"/>
    </w:pPr>
    <w:rPr>
      <w:bCs/>
      <w:color w:val="000000"/>
    </w:rPr>
  </w:style>
  <w:style w:type="paragraph" w:styleId="BodyTextIndent">
    <w:name w:val="Body Text Indent"/>
    <w:basedOn w:val="Normal"/>
    <w:pPr>
      <w:tabs>
        <w:tab w:val="left" w:pos="720" w:leader="none"/>
      </w:tabs>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2001-09-10T18:14:00Z</dcterms:created>
  <dc:creator>FERC</dc:creator>
  <dc:description/>
  <dc:language>en-CA</dc:language>
  <cp:lastModifiedBy>FERC</cp:lastModifiedBy>
  <cp:lastPrinted>2001-08-31T11:59:00Z</cp:lastPrinted>
  <dcterms:modified xsi:type="dcterms:W3CDTF">2001-09-10T18:14:00Z</dcterms:modified>
  <cp:revision>3</cp:revision>
  <dc:subject/>
  <dc:title>PRICING PROTOCOL FOR THE SOUTHEAST POWER GRID </dc:title>
</cp:coreProperties>
</file>