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Tax Implications Relating to Use of Various Enron Affiliates for Argentine Trading Operations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14"/>
        <w:gridCol w:w="2214"/>
        <w:gridCol w:w="2214"/>
        <w:gridCol w:w="2214"/>
      </w:tblGrid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Argentina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United States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Brazil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US entity executes financial trades offshore Argentina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 tax in Argentina as long as activities of Argentina employees do not give rise to a permanent establishment of US company in Argentina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Taxed in the US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NA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Argentine entity enters into financial trades in Argentina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Taxed in Argentina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Tax in the US to the extent that the US company provides substantial assistance to the Argentine company (back office support, credit support, etc)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NA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Brazilian entity enters into Argentine financial  trades offshore Argentina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 tax in Argentina as long as activities of Brazilian employees do not give rise to a permanent establishment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Taxed in the US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Taxed in Brazil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Brazilian entity enters into Argentina financial trades in Argentina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Taxed in Argentina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Taxed in the US as subpart F income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Taxed in Brazil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H:\laven\admin\argtrad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1999-10-25T17:14:00Z</dcterms:created>
  <dc:creator>EI</dc:creator>
  <dc:description/>
  <dc:language>en-CA</dc:language>
  <cp:lastModifiedBy>EI</cp:lastModifiedBy>
  <dcterms:modified xsi:type="dcterms:W3CDTF">1999-10-26T10:33:00Z</dcterms:modified>
  <cp:revision>3</cp:revision>
  <dc:subject/>
  <dc:title>Argentina</dc:title>
</cp:coreProperties>
</file>