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essageHeaderFirst"/>
        <w:spacing w:before="220" w:after="120"/>
        <w:ind w:hanging="0" w:start="0" w:end="0"/>
        <w:rPr/>
      </w:pPr>
      <w:r>
        <w:rPr>
          <w:rStyle w:val="MessageHeaderLabel"/>
          <w:rFonts w:cs="Arial"/>
          <w:b/>
          <w:spacing w:val="-25"/>
          <w:sz w:val="24"/>
        </w:rPr>
        <w:t>T</w:t>
      </w:r>
      <w:r>
        <w:rPr>
          <w:rStyle w:val="MessageHeaderLabel"/>
          <w:rFonts w:cs="Arial"/>
          <w:b/>
          <w:sz w:val="24"/>
        </w:rPr>
        <w:t>o:</w:t>
      </w:r>
      <w:r>
        <w:rPr>
          <w:b w:val="false"/>
        </w:rPr>
        <w:tab/>
        <w:t>Don Jordan and Ken Lay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3926840</wp:posOffset>
                </wp:positionH>
                <wp:positionV relativeFrom="page">
                  <wp:posOffset>732155</wp:posOffset>
                </wp:positionV>
                <wp:extent cx="3115310" cy="72644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7264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C0C0C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Walden &amp; Associates</w:t>
                            </w:r>
                          </w:p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Confidential  Memorandum</w:t>
                            </w:r>
                          </w:p>
                        </w:txbxContent>
                      </wps:txbx>
                      <wps:bodyPr anchor="t" lIns="114300" tIns="114300" rIns="1143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C0C0C0" strokeweight="3pt" style="position:absolute;rotation:-0;width:245.3pt;height:57.2pt;mso-wrap-distance-left:9.35pt;mso-wrap-distance-right:9.35pt;mso-wrap-distance-top:9.35pt;mso-wrap-distance-bottom:9.35pt;margin-top:57.65pt;mso-position-vertical-relative:page;margin-left:309.2pt;mso-position-horizontal-relative:page">
                <v:fill opacity="0f"/>
                <v:textbox inset="0.125in,0.125in,0.125in,0.0138888888888889in">
                  <w:txbxContent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Walden &amp; Associates</w:t>
                      </w:r>
                    </w:p>
                    <w:p>
                      <w:pPr>
                        <w:pStyle w:val="CompanyName"/>
                        <w:rPr/>
                      </w:pPr>
                      <w:r>
                        <w:rPr/>
                        <w:t>Confidential  Memorandum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"/>
        <w:rPr/>
      </w:pPr>
      <w:r>
        <w:rPr>
          <w:rStyle w:val="MessageHeaderLabel"/>
          <w:rFonts w:cs="Arial"/>
          <w:b/>
          <w:sz w:val="24"/>
        </w:rPr>
        <w:t>From:</w:t>
      </w:r>
      <w:r>
        <w:rPr>
          <w:b w:val="false"/>
        </w:rPr>
        <w:tab/>
        <w:t>Dave Walden</w:t>
      </w:r>
    </w:p>
    <w:p>
      <w:pPr>
        <w:pStyle w:val="MessageHeader"/>
        <w:suppressLineNumbers/>
        <w:spacing w:lineRule="auto" w:line="240"/>
        <w:ind w:hanging="0" w:start="0" w:end="0"/>
        <w:rPr/>
      </w:pPr>
      <w:r>
        <w:rPr>
          <w:rStyle w:val="MessageHeaderLabel"/>
          <w:rFonts w:cs="Arial"/>
          <w:b/>
          <w:sz w:val="24"/>
        </w:rPr>
        <w:t>CC:</w:t>
      </w:r>
      <w:r>
        <w:rPr>
          <w:b w:val="false"/>
        </w:rPr>
        <w:tab/>
        <w:t>none</w:t>
      </w:r>
    </w:p>
    <w:p>
      <w:pPr>
        <w:pStyle w:val="MessageHeader"/>
        <w:rPr>
          <w:b w:val="false"/>
        </w:rPr>
      </w:pPr>
      <w:r>
        <w:rPr>
          <w:rStyle w:val="MessageHeaderLabel"/>
          <w:rFonts w:cs="Arial"/>
          <w:b/>
          <w:sz w:val="24"/>
        </w:rPr>
        <w:t>Date:</w:t>
      </w:r>
      <w:r>
        <w:rPr>
          <w:b w:val="false"/>
        </w:rPr>
        <w:tab/>
      </w:r>
      <w:r>
        <w:rPr>
          <w:b w:val="false"/>
        </w:rPr>
        <w:fldChar w:fldCharType="begin"/>
      </w:r>
      <w:r>
        <w:rPr>
          <w:b w:val="false"/>
        </w:rPr>
        <w:instrText xml:space="preserve"> DATE \@"M/d/yyyy" </w:instrText>
      </w:r>
      <w:r>
        <w:rPr>
          <w:b w:val="false"/>
        </w:rPr>
        <w:fldChar w:fldCharType="separate"/>
      </w:r>
      <w:r>
        <w:rPr>
          <w:b w:val="false"/>
        </w:rPr>
        <w:t>9/28/2025</w:t>
      </w:r>
      <w:r>
        <w:rPr>
          <w:b w:val="false"/>
        </w:rPr>
        <w:fldChar w:fldCharType="end"/>
      </w:r>
    </w:p>
    <w:p>
      <w:pPr>
        <w:pStyle w:val="MessageHeaderLast"/>
        <w:rPr/>
      </w:pPr>
      <w:r>
        <w:rPr>
          <w:rStyle w:val="MessageHeaderLabel"/>
          <w:rFonts w:cs="Arial"/>
          <w:b/>
          <w:sz w:val="24"/>
        </w:rPr>
        <w:t>Re:</w:t>
      </w:r>
      <w:r>
        <w:rPr>
          <w:b w:val="false"/>
        </w:rPr>
        <w:tab/>
        <w:t>Arena Campaign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jc w:val="start"/>
        <w:rPr/>
      </w:pPr>
      <w:r>
        <w:rPr/>
        <w:t>Here is a simple campaign plan and draft budget. I assumed  funded opposition, so we start off high on the budget, nearly $3 million, and we can cut back from there. The Arena Campaign spent $2.7 in 1999 and you have to remember that TV time has substantially increased since then as has the price of doing business in the minority precincts.</w:t>
      </w:r>
    </w:p>
    <w:p>
      <w:pPr>
        <w:pStyle w:val="BodyText"/>
        <w:jc w:val="start"/>
        <w:rPr/>
      </w:pPr>
      <w:r>
        <w:rPr/>
        <w:t xml:space="preserve">Some items, such as the mobile headquarters and print materials need a longer lead time, so I need to start making some commitments today. I also would like to start pre-production on an initial TV spot so we are ready to go up as soon as we announce the campaign in early September. I will keep actual expenses down to under $75,000 until we know for sure that we have a campaign. </w:t>
      </w:r>
    </w:p>
    <w:p>
      <w:pPr>
        <w:pStyle w:val="BodyText"/>
        <w:jc w:val="start"/>
        <w:rPr/>
      </w:pPr>
      <w:r>
        <w:rPr/>
        <w:t>Of greater concern is TV placement. As usual, avails are being gobbled up by business for the 4</w:t>
      </w:r>
      <w:r>
        <w:rPr>
          <w:vertAlign w:val="superscript"/>
        </w:rPr>
        <w:t>th</w:t>
      </w:r>
      <w:r>
        <w:rPr/>
        <w:t xml:space="preserve"> quarter and we really should start making reservations today---at least on stations that will give us a week  to cancel. </w:t>
      </w:r>
    </w:p>
    <w:p>
      <w:pPr>
        <w:pStyle w:val="BodyText"/>
        <w:jc w:val="start"/>
        <w:rPr/>
      </w:pPr>
      <w:r>
        <w:rPr/>
        <w:t>I am available at 713-851-2576 (cell) or 713-861-1117 (office) or 713-663-7990(home) if you have any questions.</w:t>
      </w:r>
    </w:p>
    <w:p>
      <w:pPr>
        <w:pStyle w:val="BodyText"/>
        <w:jc w:val="start"/>
        <w:rPr/>
      </w:pPr>
      <w:r>
        <w:rPr/>
        <w:t xml:space="preserve">This budget doesn’t cover fundraising expenses. Since Sue is working on that with you, it would be a conflict to negotiate those fees and expenses. </w:t>
      </w:r>
    </w:p>
    <w:p>
      <w:pPr>
        <w:pStyle w:val="BodyText"/>
        <w:jc w:val="start"/>
        <w:rPr/>
      </w:pPr>
      <w:r>
        <w:rPr/>
        <w:t>We’re going to win and have fun doing it.</w:t>
      </w:r>
    </w:p>
    <w:p>
      <w:pPr>
        <w:pStyle w:val="BodyText"/>
        <w:spacing w:lineRule="atLeast" w:line="180" w:before="0" w:after="220"/>
        <w:jc w:val="both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spacing w:lineRule="atLeast" w:line="180" w:before="600" w:after="0"/>
      <w:jc w:val="both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spacing w:lineRule="atLeast" w:line="180" w:before="600" w:after="0"/>
      <w:jc w:val="both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b/>
      <w:color w:val="auto"/>
      <w:spacing w:val="-5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keepLines/>
      <w:tabs>
        <w:tab w:val="clear" w:pos="720"/>
        <w:tab w:val="center" w:pos="4320" w:leader="none"/>
        <w:tab w:val="right" w:pos="8640" w:leader="none"/>
      </w:tabs>
      <w:spacing w:lineRule="atLeast" w:line="180" w:before="600" w:after="0"/>
      <w:jc w:val="both"/>
    </w:pPr>
    <w:rPr>
      <w:rFonts w:ascii="Arial" w:hAnsi="Arial" w:cs="Arial"/>
      <w:spacing w:val="-5"/>
      <w:sz w:val="18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Confidential memo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2000-08-14T17:42:00Z</dcterms:created>
  <dc:creator>David Walden</dc:creator>
  <dc:description/>
  <dc:language>en-CA</dc:language>
  <cp:lastModifiedBy>David Walden</cp:lastModifiedBy>
  <cp:lastPrinted>2000-08-14T15:36:00Z</cp:lastPrinted>
  <dcterms:modified xsi:type="dcterms:W3CDTF">2000-08-15T16:21:00Z</dcterms:modified>
  <cp:revision>3</cp:revision>
  <dc:subject/>
  <dc:title>Walden &amp; Associates</dc:title>
</cp:coreProperties>
</file>