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March 6, 2000</w:t>
      </w:r>
    </w:p>
    <w:p>
      <w:pPr>
        <w:pStyle w:val="Normal"/>
        <w:rPr>
          <w:sz w:val="24"/>
        </w:rPr>
      </w:pPr>
      <w:r>
        <w:rPr>
          <w:sz w:val="24"/>
        </w:rPr>
      </w:r>
    </w:p>
    <w:p>
      <w:pPr>
        <w:pStyle w:val="Normal"/>
        <w:rPr>
          <w:sz w:val="24"/>
        </w:rPr>
      </w:pPr>
      <w:r>
        <w:rPr>
          <w:sz w:val="24"/>
        </w:rPr>
        <w:t>Atlantic Richfield Company</w:t>
      </w:r>
    </w:p>
    <w:p>
      <w:pPr>
        <w:pStyle w:val="Normal"/>
        <w:keepNext w:val="true"/>
        <w:tabs>
          <w:tab w:val="left" w:pos="720" w:leader="none"/>
          <w:tab w:val="left" w:pos="1530" w:leader="none"/>
          <w:tab w:val="left" w:pos="2160" w:leader="none"/>
          <w:tab w:val="left" w:pos="2970" w:leader="none"/>
        </w:tabs>
        <w:jc w:val="both"/>
        <w:rPr>
          <w:sz w:val="24"/>
        </w:rPr>
      </w:pPr>
      <w:r>
        <w:rPr>
          <w:sz w:val="24"/>
        </w:rPr>
        <w:t>c/o Salomon Smith Barney Inc.</w:t>
      </w:r>
    </w:p>
    <w:p>
      <w:pPr>
        <w:pStyle w:val="Normal"/>
        <w:keepNext w:val="true"/>
        <w:tabs>
          <w:tab w:val="left" w:pos="720" w:leader="none"/>
          <w:tab w:val="left" w:pos="1530" w:leader="none"/>
          <w:tab w:val="left" w:pos="2160" w:leader="none"/>
          <w:tab w:val="left" w:pos="2970" w:leader="none"/>
        </w:tabs>
        <w:jc w:val="both"/>
        <w:rPr/>
      </w:pPr>
      <w:r>
        <w:rPr>
          <w:sz w:val="24"/>
        </w:rPr>
        <w:t>388 Greenwich Street, 25</w:t>
      </w:r>
      <w:r>
        <w:rPr>
          <w:sz w:val="24"/>
          <w:vertAlign w:val="superscript"/>
        </w:rPr>
        <w:t>th</w:t>
      </w:r>
      <w:r>
        <w:rPr>
          <w:sz w:val="24"/>
        </w:rPr>
        <w:t xml:space="preserve"> Floor</w:t>
      </w:r>
    </w:p>
    <w:p>
      <w:pPr>
        <w:pStyle w:val="Normal"/>
        <w:keepNext w:val="true"/>
        <w:tabs>
          <w:tab w:val="left" w:pos="720" w:leader="none"/>
          <w:tab w:val="left" w:pos="1530" w:leader="none"/>
          <w:tab w:val="left" w:pos="2160" w:leader="none"/>
          <w:tab w:val="left" w:pos="2970" w:leader="none"/>
        </w:tabs>
        <w:jc w:val="both"/>
        <w:rPr>
          <w:sz w:val="24"/>
        </w:rPr>
      </w:pPr>
      <w:r>
        <w:rPr>
          <w:sz w:val="24"/>
        </w:rPr>
        <w:t>New York, NY  10013</w:t>
      </w:r>
    </w:p>
    <w:p>
      <w:pPr>
        <w:pStyle w:val="Normal"/>
        <w:keepNext w:val="true"/>
        <w:tabs>
          <w:tab w:val="left" w:pos="720" w:leader="none"/>
          <w:tab w:val="left" w:pos="1530" w:leader="none"/>
          <w:tab w:val="left" w:pos="2160" w:leader="none"/>
          <w:tab w:val="left" w:pos="2970" w:leader="none"/>
        </w:tabs>
        <w:jc w:val="both"/>
        <w:rPr>
          <w:sz w:val="24"/>
        </w:rPr>
      </w:pPr>
      <w:r>
        <w:rPr>
          <w:sz w:val="24"/>
        </w:rPr>
      </w:r>
    </w:p>
    <w:p>
      <w:pPr>
        <w:pStyle w:val="Normal"/>
        <w:tabs>
          <w:tab w:val="left" w:pos="720" w:leader="none"/>
          <w:tab w:val="left" w:pos="1530" w:leader="none"/>
          <w:tab w:val="left" w:pos="2160" w:leader="none"/>
          <w:tab w:val="left" w:pos="2970" w:leader="none"/>
        </w:tabs>
        <w:jc w:val="both"/>
        <w:rPr>
          <w:sz w:val="24"/>
        </w:rPr>
      </w:pPr>
      <w:r>
        <w:rPr>
          <w:sz w:val="24"/>
        </w:rPr>
        <w:tab/>
        <w:t>Attention:   Jonathan Barrett</w:t>
      </w:r>
    </w:p>
    <w:p>
      <w:pPr>
        <w:pStyle w:val="Normal"/>
        <w:tabs>
          <w:tab w:val="left" w:pos="720" w:leader="none"/>
          <w:tab w:val="left" w:pos="1440" w:leader="none"/>
        </w:tabs>
        <w:ind w:hanging="1440" w:start="1440" w:end="0"/>
        <w:jc w:val="both"/>
        <w:rPr>
          <w:sz w:val="24"/>
        </w:rPr>
      </w:pPr>
      <w:r>
        <w:rPr>
          <w:sz w:val="24"/>
        </w:rPr>
      </w:r>
    </w:p>
    <w:p>
      <w:pPr>
        <w:pStyle w:val="Normal"/>
        <w:tabs>
          <w:tab w:val="left" w:pos="720" w:leader="none"/>
          <w:tab w:val="left" w:pos="1440" w:leader="none"/>
        </w:tabs>
        <w:ind w:hanging="1440" w:start="1440" w:end="0"/>
        <w:jc w:val="both"/>
        <w:rPr>
          <w:sz w:val="24"/>
        </w:rPr>
      </w:pPr>
      <w:r>
        <w:rPr>
          <w:sz w:val="24"/>
        </w:rPr>
        <w:tab/>
        <w:t>Re:</w:t>
        <w:tab/>
        <w:t>Arco Pipeline Company</w:t>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Normal"/>
        <w:jc w:val="both"/>
        <w:rPr>
          <w:sz w:val="24"/>
        </w:rPr>
      </w:pPr>
      <w:r>
        <w:rPr>
          <w:sz w:val="24"/>
        </w:rPr>
        <w:tab/>
        <w:t xml:space="preserve">The purpose of this letter is to set forth the indication of interest of EOTT Energy Partners, L.P. (“EOTT”) in acquiring the stock of Arco Pipeline Company (“APL”) for the price set forth in this letter and in accordance with the draft Stock Purchase Agreement by and between Atlantic Richfield Company (“Arco”) and Buyer (draft of February 24, 2000), subject to the modifications described in this letter and Attachment A. </w:t>
      </w:r>
    </w:p>
    <w:p>
      <w:pPr>
        <w:pStyle w:val="Normal"/>
        <w:jc w:val="both"/>
        <w:rPr>
          <w:sz w:val="24"/>
        </w:rPr>
      </w:pPr>
      <w:r>
        <w:rPr>
          <w:sz w:val="24"/>
        </w:rPr>
      </w:r>
    </w:p>
    <w:p>
      <w:pPr>
        <w:pStyle w:val="Normal"/>
        <w:ind w:firstLine="720" w:end="0"/>
        <w:jc w:val="both"/>
        <w:rPr/>
      </w:pPr>
      <w:r>
        <w:rPr>
          <w:sz w:val="24"/>
        </w:rPr>
        <w:t>1.</w:t>
        <w:tab/>
      </w:r>
      <w:r>
        <w:rPr>
          <w:sz w:val="24"/>
          <w:u w:val="single"/>
        </w:rPr>
        <w:t>Indicative Bid</w:t>
      </w:r>
      <w:r>
        <w:rPr>
          <w:sz w:val="24"/>
        </w:rPr>
        <w:t>.  Subject to agreement on the terms of a definitive stock purchase agreement, completion of due diligence and approval of the board of directors of EOTT’s general partner prior to execution of the definitive stock purchase agreement, EOTT would be willing to purchase the stock of APL for $    million, to be paid in cash by EOTT to Arco at closing, subject to any adjustments required by the definitive stock purchase agreement. This value could be substantially enhanced during the negotiation period by the favorable resolution of questions and agreements related to the following four items:</w:t>
      </w:r>
    </w:p>
    <w:p>
      <w:pPr>
        <w:pStyle w:val="Normal"/>
        <w:jc w:val="both"/>
        <w:rPr>
          <w:sz w:val="24"/>
        </w:rPr>
      </w:pPr>
      <w:r>
        <w:rPr>
          <w:sz w:val="24"/>
        </w:rPr>
      </w:r>
    </w:p>
    <w:p>
      <w:pPr>
        <w:pStyle w:val="Normal"/>
        <w:ind w:hanging="720" w:start="1440" w:end="0"/>
        <w:jc w:val="both"/>
        <w:rPr>
          <w:sz w:val="24"/>
        </w:rPr>
      </w:pPr>
      <w:r>
        <w:rPr>
          <w:sz w:val="24"/>
        </w:rPr>
        <w:t>(a)</w:t>
        <w:tab/>
        <w:t>EOTT is exploring the possibility of proposing a more tax-efficient structure.  The indicated bid is based on the structure proposed by the Seller.</w:t>
      </w:r>
    </w:p>
    <w:p>
      <w:pPr>
        <w:pStyle w:val="Normal"/>
        <w:ind w:firstLine="720" w:start="720" w:end="0"/>
        <w:jc w:val="both"/>
        <w:rPr>
          <w:sz w:val="24"/>
        </w:rPr>
      </w:pPr>
      <w:r>
        <w:rPr>
          <w:sz w:val="24"/>
        </w:rPr>
      </w:r>
    </w:p>
    <w:p>
      <w:pPr>
        <w:pStyle w:val="Normal"/>
        <w:ind w:firstLine="720" w:end="0"/>
        <w:jc w:val="both"/>
        <w:rPr>
          <w:sz w:val="24"/>
        </w:rPr>
      </w:pPr>
      <w:r>
        <w:rPr>
          <w:sz w:val="24"/>
        </w:rPr>
        <w:t>(b)</w:t>
        <w:tab/>
        <w:t>Identifying cost savings beyond those reflected in the indicated purchase price.</w:t>
      </w:r>
    </w:p>
    <w:p>
      <w:pPr>
        <w:pStyle w:val="Normal"/>
        <w:jc w:val="both"/>
        <w:rPr>
          <w:sz w:val="24"/>
        </w:rPr>
      </w:pPr>
      <w:r>
        <w:rPr>
          <w:sz w:val="24"/>
        </w:rPr>
      </w:r>
    </w:p>
    <w:p>
      <w:pPr>
        <w:pStyle w:val="Normal"/>
        <w:ind w:hanging="720" w:start="1440" w:end="0"/>
        <w:jc w:val="both"/>
        <w:rPr>
          <w:sz w:val="24"/>
        </w:rPr>
      </w:pPr>
      <w:r>
        <w:rPr>
          <w:sz w:val="24"/>
        </w:rPr>
        <w:t>(c)</w:t>
        <w:tab/>
        <w:t xml:space="preserve">Reaching agreement with respect to a potential sharing of profits with Arco in the future as Seaway volumes exceed the budgeted 204,000 BPD level.  </w:t>
      </w:r>
    </w:p>
    <w:p>
      <w:pPr>
        <w:pStyle w:val="Normal"/>
        <w:jc w:val="both"/>
        <w:rPr>
          <w:sz w:val="24"/>
        </w:rPr>
      </w:pPr>
      <w:r>
        <w:rPr>
          <w:sz w:val="24"/>
        </w:rPr>
      </w:r>
    </w:p>
    <w:p>
      <w:pPr>
        <w:pStyle w:val="Normal"/>
        <w:ind w:hanging="720" w:start="1440" w:end="0"/>
        <w:jc w:val="both"/>
        <w:rPr>
          <w:sz w:val="24"/>
        </w:rPr>
      </w:pPr>
      <w:r>
        <w:rPr>
          <w:sz w:val="24"/>
        </w:rPr>
        <w:t>(d)</w:t>
        <w:tab/>
        <w:t>Receiving commitment that BP Amoco equity production from Hoover Diana will be transported on Seaway under a long term agreement.</w:t>
      </w:r>
    </w:p>
    <w:p>
      <w:pPr>
        <w:pStyle w:val="Normal"/>
        <w:jc w:val="both"/>
        <w:rPr>
          <w:sz w:val="24"/>
        </w:rPr>
      </w:pPr>
      <w:r>
        <w:rPr>
          <w:sz w:val="24"/>
        </w:rPr>
      </w:r>
    </w:p>
    <w:p>
      <w:pPr>
        <w:pStyle w:val="Normal"/>
        <w:jc w:val="both"/>
        <w:rPr>
          <w:sz w:val="24"/>
        </w:rPr>
      </w:pPr>
      <w:r>
        <w:rPr>
          <w:sz w:val="24"/>
        </w:rPr>
        <w:t>EOTT estimates the positive resolution of and agreement with respect to the foregoing items will have a favorable impact on the value of the transaction in the range of  $50 to $75 million.</w:t>
      </w:r>
    </w:p>
    <w:p>
      <w:pPr>
        <w:pStyle w:val="Normal"/>
        <w:ind w:start="720" w:end="0"/>
        <w:jc w:val="both"/>
        <w:rPr>
          <w:sz w:val="24"/>
        </w:rPr>
      </w:pPr>
      <w:r>
        <w:rPr>
          <w:sz w:val="24"/>
        </w:rPr>
      </w:r>
    </w:p>
    <w:p>
      <w:pPr>
        <w:pStyle w:val="Normal"/>
        <w:numPr>
          <w:ilvl w:val="0"/>
          <w:numId w:val="1"/>
        </w:numPr>
        <w:jc w:val="both"/>
        <w:rPr>
          <w:sz w:val="24"/>
        </w:rPr>
      </w:pPr>
      <w:r>
        <w:rPr>
          <w:sz w:val="24"/>
          <w:u w:val="single"/>
        </w:rPr>
        <w:t>Timing</w:t>
      </w:r>
      <w:r>
        <w:rPr>
          <w:sz w:val="24"/>
        </w:rPr>
        <w:t>.  The extent and intensity of EOTT’s participation in the APL data room process has undoubtedly made it evident to Arco that EOTT has a very high level of interest in being the successful acquirer of APL.  To that end, EOTT affirms that if selected as the successful bidder, EOTT is willing to devote the necessary resources to work towards meeting Arco’s March 15, 2000 schedule for signing the definitive stock purchase agreement.</w:t>
      </w:r>
    </w:p>
    <w:p>
      <w:pPr>
        <w:pStyle w:val="Normal"/>
        <w:ind w:start="720" w:end="0"/>
        <w:jc w:val="both"/>
        <w:rPr>
          <w:sz w:val="24"/>
        </w:rPr>
      </w:pPr>
      <w:r>
        <w:rPr>
          <w:sz w:val="24"/>
        </w:rPr>
      </w:r>
    </w:p>
    <w:p>
      <w:pPr>
        <w:pStyle w:val="Normal"/>
        <w:numPr>
          <w:ilvl w:val="0"/>
          <w:numId w:val="1"/>
        </w:numPr>
        <w:jc w:val="both"/>
        <w:rPr>
          <w:sz w:val="24"/>
        </w:rPr>
      </w:pPr>
      <w:r>
        <w:rPr>
          <w:sz w:val="24"/>
          <w:u w:val="single"/>
        </w:rPr>
        <w:t>General Comments</w:t>
      </w:r>
      <w:r>
        <w:rPr>
          <w:sz w:val="24"/>
        </w:rPr>
        <w:t>. Although EOTT may have a few other minor and uncontroversial suggestions regarding the draft Stock Purchase Agreement, EOTT  believes that this letter and Attachment A set forth its significant comments.  Capitalized terms used in this letter and not defined are those defined in the draft Stock Purchase Agreement.  The foregoing assumes that EOTT will not find any objectionable matters in the disclosure schedules and that no objectionable matters will be discovered in due diligence.</w:t>
      </w:r>
    </w:p>
    <w:p>
      <w:pPr>
        <w:pStyle w:val="Normal"/>
        <w:jc w:val="both"/>
        <w:rPr>
          <w:sz w:val="24"/>
        </w:rPr>
      </w:pPr>
      <w:r>
        <w:rPr>
          <w:sz w:val="24"/>
        </w:rPr>
      </w:r>
    </w:p>
    <w:p>
      <w:pPr>
        <w:pStyle w:val="Normal"/>
        <w:numPr>
          <w:ilvl w:val="0"/>
          <w:numId w:val="1"/>
        </w:numPr>
        <w:jc w:val="both"/>
        <w:rPr>
          <w:sz w:val="24"/>
        </w:rPr>
      </w:pPr>
      <w:r>
        <w:rPr>
          <w:sz w:val="24"/>
          <w:u w:val="single"/>
        </w:rPr>
        <w:t>Assets of APL</w:t>
      </w:r>
      <w:r>
        <w:rPr>
          <w:sz w:val="24"/>
        </w:rPr>
        <w:t>.  The package of assets to be owned by APL as of the closing of a transaction, which was defined by Arco as of February 26, is acceptable to EOTT. The Seaway, Basin and Rancho pipelines and terminals and the Cushing related activities are an excellent fit with EOTT’s current business.  If, however, any of these assets were to be removed from the transaction as the result of the exercise of a right of first refusal EOTT would, subject to appropriate price adjustment, have flexibility in accepting such a transaction.  To that end, in part, the specific proposal forwarded by Salomon Smith Barney last Friday for a formula to account for a purchase price adjustment resulting from an exercise of the Seaway first refusal right is viewed as generally acceptable by EOTT.</w:t>
      </w:r>
    </w:p>
    <w:p>
      <w:pPr>
        <w:pStyle w:val="Normal"/>
        <w:jc w:val="both"/>
        <w:rPr>
          <w:sz w:val="24"/>
        </w:rPr>
      </w:pPr>
      <w:r>
        <w:rPr>
          <w:sz w:val="24"/>
        </w:rPr>
      </w:r>
    </w:p>
    <w:p>
      <w:pPr>
        <w:pStyle w:val="Normal"/>
        <w:numPr>
          <w:ilvl w:val="0"/>
          <w:numId w:val="1"/>
        </w:numPr>
        <w:jc w:val="both"/>
        <w:rPr>
          <w:sz w:val="24"/>
        </w:rPr>
      </w:pPr>
      <w:r>
        <w:rPr>
          <w:sz w:val="24"/>
          <w:u w:val="single"/>
        </w:rPr>
        <w:t>Other Comments on Draft Stock Purchase Agreement</w:t>
      </w:r>
      <w:r>
        <w:rPr>
          <w:sz w:val="24"/>
        </w:rPr>
        <w:t>.  Other comments on the draft Stock Purchase Agreement are set forth in Attachment A.</w:t>
      </w:r>
    </w:p>
    <w:p>
      <w:pPr>
        <w:pStyle w:val="Normal"/>
        <w:jc w:val="both"/>
        <w:rPr>
          <w:sz w:val="24"/>
        </w:rPr>
      </w:pPr>
      <w:r>
        <w:rPr>
          <w:sz w:val="24"/>
        </w:rPr>
      </w:r>
    </w:p>
    <w:p>
      <w:pPr>
        <w:pStyle w:val="Normal"/>
        <w:ind w:firstLine="720" w:end="0"/>
        <w:jc w:val="both"/>
        <w:rPr>
          <w:sz w:val="24"/>
        </w:rPr>
      </w:pPr>
      <w:r>
        <w:rPr>
          <w:sz w:val="24"/>
        </w:rPr>
        <w:t>This letter will evidence our intent, subject to the terms and provisions set forth herein, to enter into discussions that may lead to execution of a definitive agreement whereby EOTT will purchase the capital stock of APL from Arco, and Arco will sell same to EOTT.</w:t>
      </w:r>
    </w:p>
    <w:p>
      <w:pPr>
        <w:pStyle w:val="Normal"/>
        <w:jc w:val="both"/>
        <w:rPr>
          <w:sz w:val="24"/>
        </w:rPr>
      </w:pPr>
      <w:r>
        <w:rPr>
          <w:sz w:val="24"/>
        </w:rPr>
      </w:r>
    </w:p>
    <w:p>
      <w:pPr>
        <w:pStyle w:val="Normal"/>
        <w:ind w:firstLine="720" w:end="0"/>
        <w:jc w:val="both"/>
        <w:rPr>
          <w:sz w:val="24"/>
        </w:rPr>
      </w:pPr>
      <w:r>
        <w:rPr>
          <w:sz w:val="24"/>
        </w:rPr>
        <w:t>This letter shall be interpreted and construed as the mutual form of Arco and EOTT and shall be subject, in all respects, to the laws of the State of Texas, without regard to conflicts of law principles. Arco and EOTT agree to act in good faith towards one another with respect to all matters covered by this Letter.</w:t>
      </w:r>
    </w:p>
    <w:p>
      <w:pPr>
        <w:pStyle w:val="Normal"/>
        <w:jc w:val="both"/>
        <w:rPr>
          <w:sz w:val="24"/>
        </w:rPr>
      </w:pPr>
      <w:r>
        <w:rPr>
          <w:sz w:val="24"/>
        </w:rPr>
      </w:r>
    </w:p>
    <w:p>
      <w:pPr>
        <w:pStyle w:val="Normal"/>
        <w:ind w:firstLine="720" w:end="0"/>
        <w:jc w:val="both"/>
        <w:rPr>
          <w:sz w:val="24"/>
        </w:rPr>
      </w:pPr>
      <w:r>
        <w:rPr>
          <w:sz w:val="24"/>
        </w:rPr>
        <w:t>EOTT, with the support and encouragement of Enron, is conveying this aggressive indication of interest, and the enhancement proposal discussed above, with the clear objective of being the eventual successful acquirer of APL.  If any additional information is required to evaluate this letter, please contact Mr. Dwight Larson (713-853-5639) and be assured that EOTT will be forthcoming and flexible in working towards a transaction meeting Arco’s requirements.  Once again, our thanks to all those who have cooperated with us in the process to date.</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Thank you for your time and attention in these matters.</w:t>
      </w:r>
    </w:p>
    <w:p>
      <w:pPr>
        <w:pStyle w:val="Normal"/>
        <w:jc w:val="both"/>
        <w:rPr>
          <w:sz w:val="24"/>
        </w:rPr>
      </w:pPr>
      <w:r>
        <w:rPr>
          <w:sz w:val="24"/>
        </w:rPr>
      </w:r>
    </w:p>
    <w:p>
      <w:pPr>
        <w:pStyle w:val="Normal"/>
        <w:jc w:val="both"/>
        <w:rPr>
          <w:sz w:val="24"/>
        </w:rPr>
      </w:pPr>
      <w:r>
        <w:rPr>
          <w:sz w:val="24"/>
        </w:rPr>
        <w:tab/>
        <w:tab/>
        <w:tab/>
        <w:tab/>
        <w:t>Very truly yours,</w:t>
      </w:r>
    </w:p>
    <w:p>
      <w:pPr>
        <w:pStyle w:val="Normal"/>
        <w:jc w:val="both"/>
        <w:rPr>
          <w:sz w:val="24"/>
        </w:rPr>
      </w:pPr>
      <w:r>
        <w:rPr>
          <w:sz w:val="24"/>
        </w:rPr>
      </w:r>
    </w:p>
    <w:p>
      <w:pPr>
        <w:pStyle w:val="Normal"/>
        <w:ind w:firstLine="720" w:start="2160" w:end="0"/>
        <w:jc w:val="both"/>
        <w:rPr>
          <w:sz w:val="24"/>
        </w:rPr>
      </w:pPr>
      <w:r>
        <w:rPr>
          <w:caps/>
          <w:sz w:val="24"/>
        </w:rPr>
        <w:t>EOTT ENERGY PARTNERS, L.P.</w:t>
      </w:r>
    </w:p>
    <w:p>
      <w:pPr>
        <w:pStyle w:val="Normal"/>
        <w:jc w:val="both"/>
        <w:rPr>
          <w:sz w:val="24"/>
        </w:rPr>
      </w:pPr>
      <w:r>
        <w:rPr>
          <w:sz w:val="24"/>
        </w:rPr>
        <w:tab/>
        <w:tab/>
        <w:tab/>
        <w:tab/>
        <w:t>By:  EOTT Energy Corp., General Partner</w:t>
      </w:r>
    </w:p>
    <w:p>
      <w:pPr>
        <w:pStyle w:val="Normal"/>
        <w:jc w:val="both"/>
        <w:rPr>
          <w:sz w:val="24"/>
        </w:rPr>
      </w:pPr>
      <w:r>
        <w:rPr>
          <w:sz w:val="24"/>
        </w:rPr>
      </w:r>
    </w:p>
    <w:p>
      <w:pPr>
        <w:pStyle w:val="Normal"/>
        <w:jc w:val="both"/>
        <w:rPr>
          <w:sz w:val="24"/>
        </w:rPr>
      </w:pPr>
      <w:r>
        <w:rPr>
          <w:sz w:val="24"/>
        </w:rPr>
        <w:tab/>
        <w:tab/>
        <w:tab/>
        <w:tab/>
        <w:t>By:________________________________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4500" w:leader="none"/>
          <w:tab w:val="left" w:pos="5220" w:leader="none"/>
        </w:tabs>
        <w:ind w:start="720" w:end="0"/>
        <w:jc w:val="both"/>
        <w:rPr>
          <w:sz w:val="24"/>
        </w:rPr>
      </w:pPr>
      <w:r>
        <w:rPr>
          <w:sz w:val="24"/>
        </w:rPr>
        <w:tab/>
        <w:tab/>
        <w:tab/>
        <w:t xml:space="preserve">Name: </w:t>
        <w:tab/>
        <w:tab/>
        <w:t>Stephen W. Duffy</w:t>
      </w:r>
    </w:p>
    <w:p>
      <w:pPr>
        <w:pStyle w:val="Normal"/>
        <w:tabs>
          <w:tab w:val="left" w:pos="720" w:leader="none"/>
          <w:tab w:val="left" w:pos="1440" w:leader="none"/>
          <w:tab w:val="left" w:pos="2160" w:leader="none"/>
          <w:tab w:val="left" w:pos="2880" w:leader="none"/>
          <w:tab w:val="left" w:pos="3600" w:leader="none"/>
          <w:tab w:val="left" w:pos="4320" w:leader="none"/>
          <w:tab w:val="left" w:pos="4500" w:leader="none"/>
          <w:tab w:val="left" w:pos="5220" w:leader="none"/>
        </w:tabs>
        <w:jc w:val="both"/>
        <w:rPr>
          <w:sz w:val="24"/>
        </w:rPr>
      </w:pPr>
      <w:r>
        <w:rPr>
          <w:sz w:val="24"/>
        </w:rPr>
        <w:tab/>
        <w:tab/>
        <w:tab/>
        <w:tab/>
        <w:t>Title:</w:t>
        <w:tab/>
        <w:tab/>
        <w:t>Vice President</w:t>
      </w:r>
    </w:p>
    <w:p>
      <w:pPr>
        <w:pStyle w:val="Normal"/>
        <w:tabs>
          <w:tab w:val="left" w:pos="720" w:leader="none"/>
          <w:tab w:val="left" w:pos="1440" w:leader="none"/>
          <w:tab w:val="left" w:pos="2160" w:leader="none"/>
          <w:tab w:val="left" w:pos="2880" w:leader="none"/>
          <w:tab w:val="left" w:pos="3600" w:leader="none"/>
          <w:tab w:val="left" w:pos="4320" w:leader="none"/>
          <w:tab w:val="left" w:pos="4500" w:leader="none"/>
          <w:tab w:val="left" w:pos="5220" w:leader="none"/>
        </w:tabs>
        <w:jc w:val="both"/>
        <w:rPr>
          <w:sz w:val="24"/>
        </w:rPr>
      </w:pPr>
      <w:r>
        <w:rPr>
          <w:sz w:val="24"/>
        </w:rPr>
      </w:r>
    </w:p>
    <w:p>
      <w:pPr>
        <w:pStyle w:val="Normal"/>
        <w:jc w:val="both"/>
        <w:rPr>
          <w:sz w:val="24"/>
        </w:rPr>
      </w:pPr>
      <w:r>
        <w:rPr>
          <w:sz w:val="24"/>
        </w:rPr>
      </w:r>
    </w:p>
    <w:p>
      <w:pPr>
        <w:pStyle w:val="Normal"/>
        <w:jc w:val="both"/>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2000-03-07T12:00:00Z</dcterms:created>
  <dc:creator>Vinson &amp; Elkins L.L.P.</dc:creator>
  <dc:description/>
  <dc:language>en-CA</dc:language>
  <cp:lastModifiedBy>dlarson</cp:lastModifiedBy>
  <cp:lastPrinted>2000-03-06T16:40:00Z</cp:lastPrinted>
  <dcterms:modified xsi:type="dcterms:W3CDTF">2000-03-07T12:00:00Z</dcterms:modified>
  <cp:revision>2</cp:revision>
  <dc:subject/>
  <dc:title>DRAFT, TENTATIVE AND PRELIMINARY, FOR DISCUSSION PURPOSES ONLY</dc:title>
</cp:coreProperties>
</file>