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_rels/document.xml.rels" ContentType="application/vnd.openxmlformats-package.relationships+xml"/>
  <Override PartName="/word/media/image1.emf" ContentType="image/x-emf"/>
  <Override PartName="/word/media/image2.emf" ContentType="image/x-emf"/>
  <Override PartName="/word/media/image3.emf" ContentType="image/x-emf"/>
  <Override PartName="/word/media/image4.emf" ContentType="image/x-emf"/>
  <Override PartName="/word/media/image5.emf" ContentType="image/x-emf"/>
  <Override PartName="/word/media/image6.emf" ContentType="image/x-emf"/>
  <Override PartName="/word/media/image10.emf" ContentType="image/x-emf"/>
  <Override PartName="/word/media/image7.emf" ContentType="image/x-emf"/>
  <Override PartName="/word/media/image11.emf" ContentType="image/x-emf"/>
  <Override PartName="/word/media/image8.emf" ContentType="image/x-emf"/>
  <Override PartName="/word/media/image12.emf" ContentType="image/x-emf"/>
  <Override PartName="/word/media/image9.emf" ContentType="image/x-emf"/>
  <Override PartName="/word/media/image13.emf" ContentType="image/x-e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pBdr>
          <w:top w:val="single" w:sz="36" w:space="1" w:color="0000FF"/>
          <w:left w:val="single" w:sz="36" w:space="1" w:color="0000FF"/>
          <w:bottom w:val="single" w:sz="36" w:space="1" w:color="0000FF"/>
          <w:right w:val="single" w:sz="36" w:space="1" w:color="0000FF"/>
        </w:pBdr>
        <w:tabs>
          <w:tab w:val="clear" w:pos="720"/>
          <w:tab w:val="left" w:pos="630" w:leader="none"/>
          <w:tab w:val="left" w:pos="6390" w:leader="none"/>
        </w:tabs>
        <w:jc w:val="center"/>
        <w:rPr>
          <w:b/>
          <w:bCs/>
          <w:i/>
          <w:i/>
          <w:iCs/>
          <w:color w:val="0000FF"/>
          <w:sz w:val="96"/>
          <w:szCs w:val="96"/>
        </w:rPr>
      </w:pPr>
      <w:bookmarkStart w:id="0" w:name="VolIss"/>
      <w:r>
        <w:rPr>
          <w:b/>
          <w:bCs/>
        </w:rPr>
        <w:t xml:space="preserve">Volume 12, Issue </w:t>
      </w:r>
      <w:bookmarkEnd w:id="0"/>
      <w:r>
        <w:rPr>
          <w:b/>
          <w:bCs/>
        </w:rPr>
        <w:t xml:space="preserve">213      </w:t>
      </w:r>
      <w:r>
        <w:rPr>
          <w:i/>
          <w:iCs/>
          <w:color w:val="0000FF"/>
          <w:sz w:val="72"/>
          <w:szCs w:val="72"/>
        </w:rPr>
        <w:t>The</w:t>
      </w:r>
      <w:r>
        <w:rPr>
          <w:i/>
          <w:iCs/>
          <w:color w:val="0000FF"/>
          <w:sz w:val="144"/>
          <w:szCs w:val="144"/>
        </w:rPr>
        <w:t xml:space="preserve"> ATS</w:t>
      </w:r>
      <w:r>
        <w:rPr>
          <w:i/>
          <w:iCs/>
          <w:color w:val="0000FF"/>
          <w:sz w:val="96"/>
          <w:szCs w:val="96"/>
        </w:rPr>
        <w:t xml:space="preserve"> </w:t>
      </w:r>
      <w:r>
        <w:rPr>
          <w:i/>
          <w:iCs/>
          <w:color w:val="0000FF"/>
          <w:sz w:val="72"/>
          <w:szCs w:val="72"/>
        </w:rPr>
        <w:t>Report</w:t>
      </w:r>
      <w:r>
        <w:rPr>
          <w:b/>
          <w:bCs/>
        </w:rPr>
        <w:t xml:space="preserve">       </w:t>
      </w:r>
      <w:bookmarkStart w:id="1" w:name="CurrDate"/>
      <w:r>
        <w:rPr>
          <w:b/>
          <w:bCs/>
        </w:rPr>
        <w:t>Wednesday, Nov 8, 2000</w:t>
      </w:r>
      <w:bookmarkEnd w:id="1"/>
      <w:r>
        <w:rPr>
          <w:b/>
          <w:bCs/>
        </w:rPr>
        <w:t xml:space="preserve">  </w:t>
      </w:r>
    </w:p>
    <w:p>
      <w:pPr>
        <w:pStyle w:val="Normal"/>
        <w:jc w:val="center"/>
        <w:rPr>
          <w:b/>
          <w:bCs/>
          <w:i/>
          <w:i/>
          <w:iCs/>
        </w:rPr>
      </w:pPr>
      <w:r>
        <w:rPr>
          <w:b/>
          <w:bCs/>
          <w:i/>
          <w:iCs/>
        </w:rPr>
        <w:t>“</w:t>
      </w:r>
      <w:r>
        <w:rPr>
          <w:b/>
          <w:bCs/>
          <w:i/>
          <w:iCs/>
        </w:rPr>
        <w:t>The Petroleum Industry’s Analyst Since 1988”</w:t>
      </w:r>
    </w:p>
    <w:p>
      <w:pPr>
        <w:pStyle w:val="Normal"/>
        <w:jc w:val="center"/>
        <w:rPr>
          <w:b/>
          <w:bCs/>
          <w:i/>
          <w:i/>
          <w:iCs/>
          <w:sz w:val="16"/>
          <w:szCs w:val="16"/>
        </w:rPr>
      </w:pPr>
      <w:r>
        <w:rPr>
          <w:b/>
          <w:bCs/>
          <w:i/>
          <w:iCs/>
          <w:sz w:val="16"/>
          <w:szCs w:val="16"/>
        </w:rPr>
      </w:r>
    </w:p>
    <w:p>
      <w:pPr>
        <w:pStyle w:val="Normal"/>
        <w:pBdr>
          <w:top w:val="single" w:sz="18" w:space="1" w:color="0000FF"/>
          <w:left w:val="single" w:sz="18" w:space="1" w:color="0000FF"/>
          <w:bottom w:val="single" w:sz="18" w:space="1" w:color="0000FF"/>
          <w:right w:val="single" w:sz="18" w:space="1" w:color="0000FF"/>
        </w:pBdr>
        <w:jc w:val="center"/>
        <w:rPr>
          <w:b/>
          <w:bCs/>
          <w:color w:val="0000FF"/>
          <w:sz w:val="24"/>
          <w:szCs w:val="24"/>
        </w:rPr>
      </w:pPr>
      <w:r>
        <w:rPr>
          <w:b/>
          <w:bCs/>
          <w:color w:val="0000FF"/>
          <w:sz w:val="24"/>
          <w:szCs w:val="24"/>
        </w:rPr>
        <w:t>Futures Exchange Activities</w:t>
      </w:r>
    </w:p>
    <w:p>
      <w:pPr>
        <w:pStyle w:val="Normal"/>
        <w:jc w:val="center"/>
        <w:rPr>
          <w:b/>
          <w:bCs/>
          <w:color w:val="0000FF"/>
          <w:sz w:val="16"/>
          <w:szCs w:val="16"/>
        </w:rPr>
      </w:pPr>
      <w:r>
        <w:rPr>
          <w:b/>
          <w:bCs/>
          <w:color w:val="0000FF"/>
          <w:sz w:val="16"/>
          <w:szCs w:val="16"/>
        </w:rPr>
      </w:r>
    </w:p>
    <w:p>
      <w:pPr>
        <w:sectPr>
          <w:headerReference w:type="default" r:id="rId2"/>
          <w:footerReference w:type="default" r:id="rId3"/>
          <w:type w:val="nextPage"/>
          <w:pgSz w:w="12240" w:h="15840"/>
          <w:pgMar w:left="720" w:right="720" w:gutter="0" w:header="0" w:top="720" w:footer="965" w:bottom="1021"/>
          <w:pgNumType w:fmt="decimal"/>
          <w:formProt w:val="false"/>
          <w:textDirection w:val="lrTb"/>
        </w:sectPr>
      </w:pPr>
    </w:p>
    <w:p>
      <w:pPr>
        <w:pStyle w:val="Normal"/>
        <w:pBdr>
          <w:top w:val="single" w:sz="18" w:space="1" w:color="0000FF"/>
          <w:left w:val="single" w:sz="18" w:space="1" w:color="0000FF"/>
          <w:bottom w:val="single" w:sz="18" w:space="1" w:color="0000FF"/>
          <w:right w:val="single" w:sz="18" w:space="1" w:color="0000FF"/>
        </w:pBdr>
        <w:jc w:val="center"/>
        <w:rPr/>
      </w:pPr>
      <w:r>
        <w:rPr>
          <w:color w:val="0000FF"/>
        </w:rPr>
        <w:t>Inside</w:t>
      </w:r>
      <w:r>
        <w:rPr>
          <w:i/>
          <w:iCs/>
          <w:color w:val="0000FF"/>
        </w:rPr>
        <w:t xml:space="preserve"> The </w:t>
      </w:r>
      <w:r>
        <w:rPr>
          <w:i/>
          <w:iCs/>
          <w:color w:val="0000FF"/>
          <w:sz w:val="28"/>
          <w:szCs w:val="28"/>
        </w:rPr>
        <w:t>ATS</w:t>
      </w:r>
      <w:r>
        <w:rPr>
          <w:i/>
          <w:iCs/>
          <w:color w:val="0000FF"/>
        </w:rPr>
        <w:t xml:space="preserve"> Report </w:t>
      </w:r>
      <w:r>
        <w:rPr>
          <w:color w:val="0000FF"/>
        </w:rPr>
        <w:t>Today</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Futures Exchange Activities</w:t>
        <w:tab/>
        <w:t xml:space="preserve">  </w:t>
        <w:tab/>
        <w:t xml:space="preserve">  </w:t>
        <w:tab/>
        <w:tab/>
        <w:t xml:space="preserve"> 1</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Technical Analysis</w:t>
        <w:tab/>
        <w:tab/>
        <w:tab/>
        <w:t xml:space="preserve">  </w:t>
        <w:tab/>
        <w:tab/>
        <w:t xml:space="preserve"> 2</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Market Commentary</w:t>
        <w:tab/>
        <w:tab/>
        <w:t xml:space="preserve">  </w:t>
        <w:tab/>
        <w:t xml:space="preserve">  </w:t>
        <w:tab/>
        <w:tab/>
        <w:t xml:space="preserve"> 3</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Today’s World  Market</w:t>
        <w:tab/>
        <w:tab/>
        <w:tab/>
        <w:tab/>
        <w:tab/>
        <w:t xml:space="preserve"> 4 Pacific Basin Market</w:t>
        <w:tab/>
        <w:tab/>
        <w:tab/>
        <w:tab/>
        <w:tab/>
        <w:t xml:space="preserve"> 4</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European  Market</w:t>
        <w:tab/>
        <w:tab/>
        <w:tab/>
        <w:tab/>
        <w:tab/>
        <w:t xml:space="preserve"> 5</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U. S. Market</w:t>
        <w:tab/>
        <w:tab/>
        <w:tab/>
        <w:tab/>
        <w:t xml:space="preserve">   </w:t>
        <w:tab/>
        <w:tab/>
        <w:t xml:space="preserve"> 5 </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Trader’s Corner</w:t>
        <w:tab/>
        <w:tab/>
        <w:tab/>
        <w:tab/>
        <w:tab/>
        <w:tab/>
        <w:t xml:space="preserve"> 6</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ATS Recommended Trades Table</w:t>
        <w:tab/>
        <w:t xml:space="preserve">  </w:t>
        <w:tab/>
        <w:t xml:space="preserve"> </w:t>
        <w:tab/>
        <w:t xml:space="preserve">           6-7</w:t>
      </w:r>
    </w:p>
    <w:p>
      <w:pPr>
        <w:pStyle w:val="Normal"/>
        <w:pBdr>
          <w:top w:val="single" w:sz="18" w:space="1" w:color="0000FF"/>
          <w:left w:val="single" w:sz="18" w:space="1" w:color="0000FF"/>
          <w:bottom w:val="single" w:sz="18" w:space="1" w:color="0000FF"/>
          <w:right w:val="single" w:sz="18" w:space="1" w:color="0000FF"/>
        </w:pBdr>
        <w:rPr/>
      </w:pPr>
      <w:r>
        <w:rPr>
          <w:i/>
          <w:iCs/>
          <w:color w:val="0000FF"/>
          <w:u w:val="single"/>
        </w:rPr>
        <w:t>TODAY’S Focus: Atlantic Basin Market</w:t>
      </w:r>
      <w:r>
        <w:rPr>
          <w:i/>
          <w:iCs/>
          <w:color w:val="0000FF"/>
        </w:rPr>
        <w:t xml:space="preserve">                          </w:t>
        <w:tab/>
        <w:t>Current Margins</w:t>
        <w:tab/>
        <w:t xml:space="preserve">                             </w:t>
        <w:tab/>
        <w:tab/>
        <w:t xml:space="preserve"> 8 </w:t>
        <w:tab/>
        <w:t xml:space="preserve">Margins Over Past 12 Months    </w:t>
        <w:tab/>
        <w:t xml:space="preserve">  </w:t>
        <w:tab/>
        <w:tab/>
        <w:t xml:space="preserve"> 9 Crude Oil Margins Analysis</w:t>
        <w:tab/>
        <w:tab/>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ab/>
        <w:t>Northwest Europe Margins</w:t>
        <w:tab/>
        <w:t xml:space="preserve">  </w:t>
        <w:tab/>
        <w:tab/>
        <w:t xml:space="preserve">10 </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ab/>
        <w:t>Singapore Margins</w:t>
        <w:tab/>
        <w:tab/>
        <w:t xml:space="preserve">  </w:t>
        <w:tab/>
        <w:tab/>
        <w:t>10</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ab/>
        <w:t>US Gulf Coast Margins</w:t>
        <w:tab/>
        <w:tab/>
        <w:t xml:space="preserve">  </w:t>
        <w:tab/>
        <w:tab/>
        <w:t>10</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ab/>
        <w:t>Worldwide AVG. Margins</w:t>
        <w:tab/>
        <w:tab/>
        <w:tab/>
        <w:tab/>
        <w:t>11</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Processing Agreements Margins</w:t>
        <w:tab/>
        <w:tab/>
        <w:t xml:space="preserve">  </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ab/>
        <w:t>Singapore</w:t>
        <w:tab/>
        <w:tab/>
        <w:tab/>
        <w:tab/>
        <w:tab/>
        <w:t>11</w:t>
      </w:r>
    </w:p>
    <w:p>
      <w:pPr>
        <w:pStyle w:val="Normal"/>
        <w:pBdr>
          <w:top w:val="single" w:sz="18" w:space="1" w:color="0000FF"/>
          <w:left w:val="single" w:sz="18" w:space="1" w:color="0000FF"/>
          <w:bottom w:val="single" w:sz="18" w:space="1" w:color="0000FF"/>
          <w:right w:val="single" w:sz="18" w:space="1" w:color="0000FF"/>
        </w:pBdr>
        <w:rPr>
          <w:i/>
          <w:i/>
          <w:iCs/>
          <w:color w:val="0000FF"/>
        </w:rPr>
      </w:pPr>
      <w:r>
        <w:rPr>
          <w:i/>
          <w:iCs/>
          <w:color w:val="0000FF"/>
        </w:rPr>
        <w:tab/>
        <w:t>US West Coast</w:t>
        <w:tab/>
        <w:tab/>
        <w:tab/>
        <w:tab/>
        <w:tab/>
        <w:t xml:space="preserve">11 </w:t>
      </w:r>
    </w:p>
    <w:p>
      <w:pPr>
        <w:pStyle w:val="Normal"/>
        <w:jc w:val="center"/>
        <w:rPr>
          <w:i/>
          <w:i/>
          <w:iCs/>
          <w:color w:val="0000FF"/>
        </w:rPr>
      </w:pPr>
      <w:r>
        <w:rPr>
          <w:i/>
          <w:iCs/>
          <w:color w:val="0000FF"/>
        </w:rPr>
      </w:r>
    </w:p>
    <w:p>
      <w:pPr>
        <w:pStyle w:val="Normal"/>
        <w:jc w:val="center"/>
        <w:rPr>
          <w:b/>
          <w:bCs/>
          <w:color w:val="FF0000"/>
          <w:sz w:val="24"/>
          <w:szCs w:val="24"/>
          <w:u w:val="single"/>
        </w:rPr>
      </w:pPr>
      <w:bookmarkStart w:id="2" w:name="FutActWTIt"/>
      <w:bookmarkEnd w:id="2"/>
      <w:r>
        <w:rPr>
          <w:b/>
          <w:bCs/>
          <w:color w:val="FF0000"/>
          <w:sz w:val="24"/>
          <w:szCs w:val="24"/>
          <w:u w:val="single"/>
        </w:rPr>
        <w:t>DEC WTI DOWN 16 CENTS</w:t>
      </w:r>
    </w:p>
    <w:tbl>
      <w:tblPr>
        <w:tblW w:w="5472" w:type="dxa"/>
        <w:jc w:val="start"/>
        <w:tblInd w:w="0" w:type="dxa"/>
        <w:tblLayout w:type="fixed"/>
        <w:tblCellMar>
          <w:top w:w="0" w:type="dxa"/>
          <w:start w:w="108" w:type="dxa"/>
          <w:bottom w:w="0" w:type="dxa"/>
          <w:end w:w="108" w:type="dxa"/>
        </w:tblCellMar>
      </w:tblPr>
      <w:tblGrid>
        <w:gridCol w:w="3798"/>
        <w:gridCol w:w="1674"/>
      </w:tblGrid>
      <w:tr>
        <w:trPr/>
        <w:tc>
          <w:tcPr>
            <w:tcW w:w="5472" w:type="dxa"/>
            <w:gridSpan w:val="2"/>
            <w:tcBorders/>
          </w:tcPr>
          <w:p>
            <w:pPr>
              <w:pStyle w:val="Normal"/>
              <w:jc w:val="center"/>
              <w:rPr>
                <w:i/>
                <w:i/>
                <w:iCs/>
                <w:sz w:val="24"/>
                <w:szCs w:val="24"/>
              </w:rPr>
            </w:pPr>
            <w:r>
              <w:rPr>
                <w:i/>
                <w:iCs/>
                <w:sz w:val="24"/>
                <w:szCs w:val="24"/>
              </w:rPr>
              <w:t>NYMEX December 2000 Futures Contract</w:t>
            </w:r>
          </w:p>
        </w:tc>
      </w:tr>
      <w:tr>
        <w:trPr/>
        <w:tc>
          <w:tcPr>
            <w:tcW w:w="3798" w:type="dxa"/>
            <w:tcBorders/>
          </w:tcPr>
          <w:p>
            <w:pPr>
              <w:pStyle w:val="Normal"/>
              <w:jc w:val="both"/>
              <w:rPr>
                <w:sz w:val="24"/>
                <w:szCs w:val="24"/>
              </w:rPr>
            </w:pPr>
            <w:r>
              <w:rPr>
                <w:sz w:val="24"/>
                <w:szCs w:val="24"/>
              </w:rPr>
              <w:t>Close:</w:t>
            </w:r>
          </w:p>
        </w:tc>
        <w:tc>
          <w:tcPr>
            <w:tcW w:w="1674" w:type="dxa"/>
            <w:tcBorders/>
          </w:tcPr>
          <w:p>
            <w:pPr>
              <w:pStyle w:val="Normal"/>
              <w:jc w:val="end"/>
              <w:rPr>
                <w:sz w:val="24"/>
                <w:szCs w:val="24"/>
              </w:rPr>
            </w:pPr>
            <w:r>
              <w:rPr>
                <w:sz w:val="24"/>
                <w:szCs w:val="24"/>
              </w:rPr>
              <w:t>$33.24</w:t>
            </w:r>
          </w:p>
        </w:tc>
      </w:tr>
      <w:tr>
        <w:trPr/>
        <w:tc>
          <w:tcPr>
            <w:tcW w:w="3798" w:type="dxa"/>
            <w:tcBorders/>
          </w:tcPr>
          <w:p>
            <w:pPr>
              <w:pStyle w:val="Normal"/>
              <w:jc w:val="both"/>
              <w:rPr>
                <w:sz w:val="24"/>
                <w:szCs w:val="24"/>
              </w:rPr>
            </w:pPr>
            <w:r>
              <w:rPr>
                <w:sz w:val="24"/>
                <w:szCs w:val="24"/>
              </w:rPr>
              <w:t>Change from previous day:</w:t>
            </w:r>
          </w:p>
        </w:tc>
        <w:tc>
          <w:tcPr>
            <w:tcW w:w="1674" w:type="dxa"/>
            <w:tcBorders/>
          </w:tcPr>
          <w:p>
            <w:pPr>
              <w:pStyle w:val="Normal"/>
              <w:jc w:val="end"/>
              <w:rPr>
                <w:sz w:val="24"/>
                <w:szCs w:val="24"/>
              </w:rPr>
            </w:pPr>
            <w:r>
              <w:rPr>
                <w:sz w:val="24"/>
                <w:szCs w:val="24"/>
              </w:rPr>
              <w:t>-0.16</w:t>
            </w:r>
          </w:p>
        </w:tc>
      </w:tr>
      <w:tr>
        <w:trPr/>
        <w:tc>
          <w:tcPr>
            <w:tcW w:w="3798" w:type="dxa"/>
            <w:tcBorders/>
          </w:tcPr>
          <w:p>
            <w:pPr>
              <w:pStyle w:val="Normal"/>
              <w:jc w:val="both"/>
              <w:rPr>
                <w:sz w:val="24"/>
                <w:szCs w:val="24"/>
              </w:rPr>
            </w:pPr>
            <w:r>
              <w:rPr>
                <w:sz w:val="24"/>
                <w:szCs w:val="24"/>
              </w:rPr>
              <w:t>High:</w:t>
            </w:r>
          </w:p>
        </w:tc>
        <w:tc>
          <w:tcPr>
            <w:tcW w:w="1674" w:type="dxa"/>
            <w:tcBorders/>
          </w:tcPr>
          <w:p>
            <w:pPr>
              <w:pStyle w:val="Normal"/>
              <w:jc w:val="end"/>
              <w:rPr>
                <w:sz w:val="24"/>
                <w:szCs w:val="24"/>
              </w:rPr>
            </w:pPr>
            <w:r>
              <w:rPr>
                <w:sz w:val="24"/>
                <w:szCs w:val="24"/>
              </w:rPr>
              <w:t>$33.47</w:t>
            </w:r>
          </w:p>
        </w:tc>
      </w:tr>
      <w:tr>
        <w:trPr/>
        <w:tc>
          <w:tcPr>
            <w:tcW w:w="3798" w:type="dxa"/>
            <w:tcBorders/>
          </w:tcPr>
          <w:p>
            <w:pPr>
              <w:pStyle w:val="Normal"/>
              <w:jc w:val="both"/>
              <w:rPr>
                <w:sz w:val="24"/>
                <w:szCs w:val="24"/>
              </w:rPr>
            </w:pPr>
            <w:r>
              <w:rPr>
                <w:sz w:val="24"/>
                <w:szCs w:val="24"/>
              </w:rPr>
              <w:t>Low:</w:t>
            </w:r>
          </w:p>
        </w:tc>
        <w:tc>
          <w:tcPr>
            <w:tcW w:w="1674" w:type="dxa"/>
            <w:tcBorders/>
          </w:tcPr>
          <w:p>
            <w:pPr>
              <w:pStyle w:val="Normal"/>
              <w:jc w:val="end"/>
              <w:rPr>
                <w:sz w:val="24"/>
                <w:szCs w:val="24"/>
              </w:rPr>
            </w:pPr>
            <w:r>
              <w:rPr>
                <w:sz w:val="24"/>
                <w:szCs w:val="24"/>
              </w:rPr>
              <w:t>$32.83</w:t>
            </w:r>
          </w:p>
        </w:tc>
      </w:tr>
      <w:tr>
        <w:trPr/>
        <w:tc>
          <w:tcPr>
            <w:tcW w:w="3798" w:type="dxa"/>
            <w:tcBorders/>
          </w:tcPr>
          <w:p>
            <w:pPr>
              <w:pStyle w:val="Normal"/>
              <w:jc w:val="both"/>
              <w:rPr>
                <w:sz w:val="24"/>
                <w:szCs w:val="24"/>
              </w:rPr>
            </w:pPr>
            <w:r>
              <w:rPr>
                <w:sz w:val="24"/>
                <w:szCs w:val="24"/>
              </w:rPr>
              <w:t>Open:</w:t>
            </w:r>
          </w:p>
        </w:tc>
        <w:tc>
          <w:tcPr>
            <w:tcW w:w="1674" w:type="dxa"/>
            <w:tcBorders/>
          </w:tcPr>
          <w:p>
            <w:pPr>
              <w:pStyle w:val="Normal"/>
              <w:jc w:val="end"/>
              <w:rPr>
                <w:sz w:val="24"/>
                <w:szCs w:val="24"/>
              </w:rPr>
            </w:pPr>
            <w:r>
              <w:rPr>
                <w:sz w:val="24"/>
                <w:szCs w:val="24"/>
              </w:rPr>
              <w:t>$33.20</w:t>
            </w:r>
          </w:p>
        </w:tc>
      </w:tr>
    </w:tbl>
    <w:p>
      <w:pPr>
        <w:pStyle w:val="Normal"/>
        <w:jc w:val="both"/>
        <w:rPr>
          <w:b/>
          <w:bCs/>
          <w:color w:val="000000"/>
          <w:sz w:val="16"/>
          <w:szCs w:val="16"/>
          <w:u w:val="single"/>
        </w:rPr>
      </w:pPr>
      <w:r>
        <w:rPr>
          <w:b/>
          <w:bCs/>
          <w:color w:val="000000"/>
          <w:sz w:val="16"/>
          <w:szCs w:val="16"/>
          <w:u w:val="single"/>
        </w:rPr>
      </w:r>
    </w:p>
    <w:p>
      <w:pPr>
        <w:pStyle w:val="Normal"/>
        <w:jc w:val="center"/>
        <w:rPr>
          <w:b/>
          <w:bCs/>
          <w:color w:val="000000"/>
          <w:sz w:val="24"/>
          <w:szCs w:val="24"/>
          <w:u w:val="single"/>
        </w:rPr>
      </w:pPr>
      <w:r>
        <w:rPr>
          <w:b/>
          <w:bCs/>
          <w:color w:val="000000"/>
          <w:sz w:val="24"/>
          <w:szCs w:val="24"/>
          <w:u w:val="single"/>
        </w:rPr>
        <w:t xml:space="preserve">DEC BRENT DOWN 36 CENTS  </w:t>
      </w:r>
    </w:p>
    <w:tbl>
      <w:tblPr>
        <w:tblW w:w="5472" w:type="dxa"/>
        <w:jc w:val="start"/>
        <w:tblInd w:w="0" w:type="dxa"/>
        <w:tblLayout w:type="fixed"/>
        <w:tblCellMar>
          <w:top w:w="0" w:type="dxa"/>
          <w:start w:w="108" w:type="dxa"/>
          <w:bottom w:w="0" w:type="dxa"/>
          <w:end w:w="108" w:type="dxa"/>
        </w:tblCellMar>
      </w:tblPr>
      <w:tblGrid>
        <w:gridCol w:w="3798"/>
        <w:gridCol w:w="1674"/>
      </w:tblGrid>
      <w:tr>
        <w:trPr/>
        <w:tc>
          <w:tcPr>
            <w:tcW w:w="5472" w:type="dxa"/>
            <w:gridSpan w:val="2"/>
            <w:tcBorders/>
          </w:tcPr>
          <w:p>
            <w:pPr>
              <w:pStyle w:val="Normal"/>
              <w:jc w:val="center"/>
              <w:rPr>
                <w:i/>
                <w:i/>
                <w:iCs/>
                <w:sz w:val="24"/>
                <w:szCs w:val="24"/>
              </w:rPr>
            </w:pPr>
            <w:r>
              <w:rPr>
                <w:i/>
                <w:iCs/>
                <w:sz w:val="24"/>
                <w:szCs w:val="24"/>
              </w:rPr>
              <w:t>IPE December 2000 Futures Contract</w:t>
            </w:r>
          </w:p>
        </w:tc>
      </w:tr>
      <w:tr>
        <w:trPr/>
        <w:tc>
          <w:tcPr>
            <w:tcW w:w="3798" w:type="dxa"/>
            <w:tcBorders/>
          </w:tcPr>
          <w:p>
            <w:pPr>
              <w:pStyle w:val="Normal"/>
              <w:jc w:val="both"/>
              <w:rPr>
                <w:sz w:val="24"/>
                <w:szCs w:val="24"/>
              </w:rPr>
            </w:pPr>
            <w:r>
              <w:rPr>
                <w:sz w:val="24"/>
                <w:szCs w:val="24"/>
              </w:rPr>
              <w:t>Close:</w:t>
            </w:r>
          </w:p>
        </w:tc>
        <w:tc>
          <w:tcPr>
            <w:tcW w:w="1674" w:type="dxa"/>
            <w:tcBorders/>
          </w:tcPr>
          <w:p>
            <w:pPr>
              <w:pStyle w:val="Normal"/>
              <w:jc w:val="end"/>
              <w:rPr>
                <w:sz w:val="24"/>
                <w:szCs w:val="24"/>
              </w:rPr>
            </w:pPr>
            <w:r>
              <w:rPr>
                <w:sz w:val="24"/>
                <w:szCs w:val="24"/>
              </w:rPr>
              <w:t>$31.32</w:t>
            </w:r>
          </w:p>
        </w:tc>
      </w:tr>
      <w:tr>
        <w:trPr/>
        <w:tc>
          <w:tcPr>
            <w:tcW w:w="3798" w:type="dxa"/>
            <w:tcBorders/>
          </w:tcPr>
          <w:p>
            <w:pPr>
              <w:pStyle w:val="Normal"/>
              <w:jc w:val="both"/>
              <w:rPr>
                <w:sz w:val="24"/>
                <w:szCs w:val="24"/>
              </w:rPr>
            </w:pPr>
            <w:r>
              <w:rPr>
                <w:sz w:val="24"/>
                <w:szCs w:val="24"/>
              </w:rPr>
              <w:t>Change from previous day:</w:t>
            </w:r>
          </w:p>
        </w:tc>
        <w:tc>
          <w:tcPr>
            <w:tcW w:w="1674" w:type="dxa"/>
            <w:tcBorders/>
          </w:tcPr>
          <w:p>
            <w:pPr>
              <w:pStyle w:val="Normal"/>
              <w:jc w:val="end"/>
              <w:rPr>
                <w:sz w:val="24"/>
                <w:szCs w:val="24"/>
              </w:rPr>
            </w:pPr>
            <w:r>
              <w:rPr>
                <w:sz w:val="24"/>
                <w:szCs w:val="24"/>
              </w:rPr>
              <w:t>-0.36</w:t>
            </w:r>
          </w:p>
        </w:tc>
      </w:tr>
      <w:tr>
        <w:trPr/>
        <w:tc>
          <w:tcPr>
            <w:tcW w:w="3798" w:type="dxa"/>
            <w:tcBorders/>
          </w:tcPr>
          <w:p>
            <w:pPr>
              <w:pStyle w:val="Normal"/>
              <w:jc w:val="both"/>
              <w:rPr>
                <w:sz w:val="24"/>
                <w:szCs w:val="24"/>
              </w:rPr>
            </w:pPr>
            <w:r>
              <w:rPr>
                <w:sz w:val="24"/>
                <w:szCs w:val="24"/>
              </w:rPr>
              <w:t>High:</w:t>
            </w:r>
          </w:p>
        </w:tc>
        <w:tc>
          <w:tcPr>
            <w:tcW w:w="1674" w:type="dxa"/>
            <w:tcBorders/>
          </w:tcPr>
          <w:p>
            <w:pPr>
              <w:pStyle w:val="Normal"/>
              <w:jc w:val="end"/>
              <w:rPr>
                <w:sz w:val="24"/>
                <w:szCs w:val="24"/>
              </w:rPr>
            </w:pPr>
            <w:r>
              <w:rPr>
                <w:sz w:val="24"/>
                <w:szCs w:val="24"/>
              </w:rPr>
              <w:t>$31.74</w:t>
            </w:r>
          </w:p>
        </w:tc>
      </w:tr>
      <w:tr>
        <w:trPr/>
        <w:tc>
          <w:tcPr>
            <w:tcW w:w="3798" w:type="dxa"/>
            <w:tcBorders/>
          </w:tcPr>
          <w:p>
            <w:pPr>
              <w:pStyle w:val="Normal"/>
              <w:jc w:val="both"/>
              <w:rPr>
                <w:sz w:val="24"/>
                <w:szCs w:val="24"/>
              </w:rPr>
            </w:pPr>
            <w:r>
              <w:rPr>
                <w:sz w:val="24"/>
                <w:szCs w:val="24"/>
              </w:rPr>
              <w:t>Low:</w:t>
            </w:r>
          </w:p>
        </w:tc>
        <w:tc>
          <w:tcPr>
            <w:tcW w:w="1674" w:type="dxa"/>
            <w:tcBorders/>
          </w:tcPr>
          <w:p>
            <w:pPr>
              <w:pStyle w:val="Normal"/>
              <w:jc w:val="end"/>
              <w:rPr>
                <w:sz w:val="24"/>
                <w:szCs w:val="24"/>
              </w:rPr>
            </w:pPr>
            <w:r>
              <w:rPr>
                <w:sz w:val="24"/>
                <w:szCs w:val="24"/>
              </w:rPr>
              <w:t>$30.88</w:t>
            </w:r>
          </w:p>
        </w:tc>
      </w:tr>
      <w:tr>
        <w:trPr/>
        <w:tc>
          <w:tcPr>
            <w:tcW w:w="3798" w:type="dxa"/>
            <w:tcBorders/>
          </w:tcPr>
          <w:p>
            <w:pPr>
              <w:pStyle w:val="Normal"/>
              <w:jc w:val="both"/>
              <w:rPr>
                <w:sz w:val="24"/>
                <w:szCs w:val="24"/>
              </w:rPr>
            </w:pPr>
            <w:r>
              <w:rPr>
                <w:sz w:val="24"/>
                <w:szCs w:val="24"/>
              </w:rPr>
              <w:t>Open:</w:t>
            </w:r>
          </w:p>
        </w:tc>
        <w:tc>
          <w:tcPr>
            <w:tcW w:w="1674" w:type="dxa"/>
            <w:tcBorders/>
          </w:tcPr>
          <w:p>
            <w:pPr>
              <w:pStyle w:val="Normal"/>
              <w:jc w:val="end"/>
              <w:rPr>
                <w:sz w:val="24"/>
                <w:szCs w:val="24"/>
              </w:rPr>
            </w:pPr>
            <w:r>
              <w:rPr>
                <w:sz w:val="24"/>
                <w:szCs w:val="24"/>
              </w:rPr>
              <w:t>$31.62</w:t>
            </w:r>
          </w:p>
        </w:tc>
      </w:tr>
      <w:tr>
        <w:trPr/>
        <w:tc>
          <w:tcPr>
            <w:tcW w:w="3798" w:type="dxa"/>
            <w:tcBorders/>
          </w:tcPr>
          <w:p>
            <w:pPr>
              <w:pStyle w:val="Normal"/>
              <w:jc w:val="both"/>
              <w:rPr/>
            </w:pPr>
            <w:r>
              <w:rPr>
                <w:sz w:val="24"/>
                <w:szCs w:val="24"/>
              </w:rPr>
              <w:t>December</w:t>
            </w:r>
            <w:r>
              <w:rPr>
                <w:i/>
                <w:iCs/>
                <w:sz w:val="24"/>
                <w:szCs w:val="24"/>
              </w:rPr>
              <w:t xml:space="preserve"> </w:t>
            </w:r>
            <w:r>
              <w:rPr>
                <w:sz w:val="24"/>
                <w:szCs w:val="24"/>
              </w:rPr>
              <w:t>WTI/Brent spread:</w:t>
            </w:r>
          </w:p>
        </w:tc>
        <w:tc>
          <w:tcPr>
            <w:tcW w:w="1674" w:type="dxa"/>
            <w:tcBorders/>
          </w:tcPr>
          <w:p>
            <w:pPr>
              <w:pStyle w:val="Normal"/>
              <w:jc w:val="end"/>
              <w:rPr>
                <w:sz w:val="24"/>
                <w:szCs w:val="24"/>
              </w:rPr>
            </w:pPr>
            <w:r>
              <w:rPr>
                <w:sz w:val="24"/>
                <w:szCs w:val="24"/>
              </w:rPr>
              <w:t>$1.92</w:t>
            </w:r>
          </w:p>
        </w:tc>
      </w:tr>
    </w:tbl>
    <w:p>
      <w:pPr>
        <w:pStyle w:val="Normal"/>
        <w:jc w:val="center"/>
        <w:rPr>
          <w:b/>
          <w:bCs/>
          <w:color w:val="FF0000"/>
          <w:sz w:val="24"/>
          <w:szCs w:val="24"/>
          <w:u w:val="single"/>
        </w:rPr>
      </w:pPr>
      <w:r>
        <w:br w:type="column"/>
      </w:r>
      <w:bookmarkStart w:id="3" w:name="FutActNGt"/>
      <w:bookmarkEnd w:id="3"/>
      <w:r>
        <w:rPr>
          <w:b/>
          <w:bCs/>
          <w:color w:val="FF0000"/>
          <w:sz w:val="24"/>
          <w:szCs w:val="24"/>
          <w:u w:val="single"/>
        </w:rPr>
        <w:t>DEC GASOLINE DOWN 168 POINTS</w:t>
      </w:r>
    </w:p>
    <w:tbl>
      <w:tblPr>
        <w:tblW w:w="5472" w:type="dxa"/>
        <w:jc w:val="start"/>
        <w:tblInd w:w="0" w:type="dxa"/>
        <w:tblLayout w:type="fixed"/>
        <w:tblCellMar>
          <w:top w:w="0" w:type="dxa"/>
          <w:start w:w="108" w:type="dxa"/>
          <w:bottom w:w="0" w:type="dxa"/>
          <w:end w:w="108" w:type="dxa"/>
        </w:tblCellMar>
      </w:tblPr>
      <w:tblGrid>
        <w:gridCol w:w="3798"/>
        <w:gridCol w:w="1674"/>
      </w:tblGrid>
      <w:tr>
        <w:trPr/>
        <w:tc>
          <w:tcPr>
            <w:tcW w:w="5472" w:type="dxa"/>
            <w:gridSpan w:val="2"/>
            <w:tcBorders/>
          </w:tcPr>
          <w:p>
            <w:pPr>
              <w:pStyle w:val="Normal"/>
              <w:jc w:val="center"/>
              <w:rPr>
                <w:i/>
                <w:i/>
                <w:iCs/>
                <w:sz w:val="24"/>
                <w:szCs w:val="24"/>
              </w:rPr>
            </w:pPr>
            <w:r>
              <w:rPr>
                <w:i/>
                <w:iCs/>
                <w:sz w:val="24"/>
                <w:szCs w:val="24"/>
              </w:rPr>
              <w:t>NYMEX December 2000 Futures Contract</w:t>
            </w:r>
          </w:p>
        </w:tc>
      </w:tr>
      <w:tr>
        <w:trPr/>
        <w:tc>
          <w:tcPr>
            <w:tcW w:w="3798" w:type="dxa"/>
            <w:tcBorders/>
          </w:tcPr>
          <w:p>
            <w:pPr>
              <w:pStyle w:val="Normal"/>
              <w:jc w:val="both"/>
              <w:rPr>
                <w:sz w:val="24"/>
                <w:szCs w:val="24"/>
              </w:rPr>
            </w:pPr>
            <w:r>
              <w:rPr>
                <w:sz w:val="24"/>
                <w:szCs w:val="24"/>
              </w:rPr>
              <w:t>Close:</w:t>
            </w:r>
          </w:p>
        </w:tc>
        <w:tc>
          <w:tcPr>
            <w:tcW w:w="1674" w:type="dxa"/>
            <w:tcBorders/>
          </w:tcPr>
          <w:p>
            <w:pPr>
              <w:pStyle w:val="Normal"/>
              <w:jc w:val="end"/>
              <w:rPr>
                <w:sz w:val="24"/>
                <w:szCs w:val="24"/>
              </w:rPr>
            </w:pPr>
            <w:r>
              <w:rPr>
                <w:sz w:val="24"/>
                <w:szCs w:val="24"/>
              </w:rPr>
              <w:t>87.42</w:t>
            </w:r>
          </w:p>
        </w:tc>
      </w:tr>
      <w:tr>
        <w:trPr/>
        <w:tc>
          <w:tcPr>
            <w:tcW w:w="3798" w:type="dxa"/>
            <w:tcBorders/>
          </w:tcPr>
          <w:p>
            <w:pPr>
              <w:pStyle w:val="Normal"/>
              <w:jc w:val="both"/>
              <w:rPr>
                <w:sz w:val="24"/>
                <w:szCs w:val="24"/>
              </w:rPr>
            </w:pPr>
            <w:r>
              <w:rPr>
                <w:sz w:val="24"/>
                <w:szCs w:val="24"/>
              </w:rPr>
              <w:t>Change from previous day:</w:t>
            </w:r>
          </w:p>
        </w:tc>
        <w:tc>
          <w:tcPr>
            <w:tcW w:w="1674" w:type="dxa"/>
            <w:tcBorders/>
          </w:tcPr>
          <w:p>
            <w:pPr>
              <w:pStyle w:val="Normal"/>
              <w:jc w:val="end"/>
              <w:rPr>
                <w:sz w:val="24"/>
                <w:szCs w:val="24"/>
              </w:rPr>
            </w:pPr>
            <w:r>
              <w:rPr>
                <w:sz w:val="24"/>
                <w:szCs w:val="24"/>
              </w:rPr>
              <w:t>-1.68</w:t>
            </w:r>
          </w:p>
        </w:tc>
      </w:tr>
      <w:tr>
        <w:trPr/>
        <w:tc>
          <w:tcPr>
            <w:tcW w:w="3798" w:type="dxa"/>
            <w:tcBorders/>
          </w:tcPr>
          <w:p>
            <w:pPr>
              <w:pStyle w:val="Normal"/>
              <w:jc w:val="both"/>
              <w:rPr>
                <w:sz w:val="24"/>
                <w:szCs w:val="24"/>
              </w:rPr>
            </w:pPr>
            <w:r>
              <w:rPr>
                <w:sz w:val="24"/>
                <w:szCs w:val="24"/>
              </w:rPr>
              <w:t>High:</w:t>
            </w:r>
          </w:p>
        </w:tc>
        <w:tc>
          <w:tcPr>
            <w:tcW w:w="1674" w:type="dxa"/>
            <w:tcBorders/>
          </w:tcPr>
          <w:p>
            <w:pPr>
              <w:pStyle w:val="Normal"/>
              <w:jc w:val="end"/>
              <w:rPr>
                <w:sz w:val="24"/>
                <w:szCs w:val="24"/>
              </w:rPr>
            </w:pPr>
            <w:r>
              <w:rPr>
                <w:sz w:val="24"/>
                <w:szCs w:val="24"/>
              </w:rPr>
              <w:t>88.80</w:t>
            </w:r>
          </w:p>
        </w:tc>
      </w:tr>
      <w:tr>
        <w:trPr/>
        <w:tc>
          <w:tcPr>
            <w:tcW w:w="3798" w:type="dxa"/>
            <w:tcBorders/>
          </w:tcPr>
          <w:p>
            <w:pPr>
              <w:pStyle w:val="Normal"/>
              <w:jc w:val="both"/>
              <w:rPr>
                <w:sz w:val="24"/>
                <w:szCs w:val="24"/>
              </w:rPr>
            </w:pPr>
            <w:r>
              <w:rPr>
                <w:sz w:val="24"/>
                <w:szCs w:val="24"/>
              </w:rPr>
              <w:t>Low:</w:t>
            </w:r>
          </w:p>
        </w:tc>
        <w:tc>
          <w:tcPr>
            <w:tcW w:w="1674" w:type="dxa"/>
            <w:tcBorders/>
          </w:tcPr>
          <w:p>
            <w:pPr>
              <w:pStyle w:val="Normal"/>
              <w:jc w:val="end"/>
              <w:rPr>
                <w:sz w:val="24"/>
                <w:szCs w:val="24"/>
              </w:rPr>
            </w:pPr>
            <w:r>
              <w:rPr>
                <w:sz w:val="24"/>
                <w:szCs w:val="24"/>
              </w:rPr>
              <w:t>86.70</w:t>
            </w:r>
          </w:p>
        </w:tc>
      </w:tr>
      <w:tr>
        <w:trPr/>
        <w:tc>
          <w:tcPr>
            <w:tcW w:w="3798" w:type="dxa"/>
            <w:tcBorders/>
          </w:tcPr>
          <w:p>
            <w:pPr>
              <w:pStyle w:val="Normal"/>
              <w:jc w:val="both"/>
              <w:rPr>
                <w:sz w:val="24"/>
                <w:szCs w:val="24"/>
              </w:rPr>
            </w:pPr>
            <w:r>
              <w:rPr>
                <w:sz w:val="24"/>
                <w:szCs w:val="24"/>
              </w:rPr>
              <w:t>Open:</w:t>
            </w:r>
          </w:p>
        </w:tc>
        <w:tc>
          <w:tcPr>
            <w:tcW w:w="1674" w:type="dxa"/>
            <w:tcBorders/>
          </w:tcPr>
          <w:p>
            <w:pPr>
              <w:pStyle w:val="Normal"/>
              <w:jc w:val="end"/>
              <w:rPr>
                <w:sz w:val="24"/>
                <w:szCs w:val="24"/>
              </w:rPr>
            </w:pPr>
            <w:r>
              <w:rPr>
                <w:sz w:val="24"/>
                <w:szCs w:val="24"/>
              </w:rPr>
              <w:t>88.80</w:t>
            </w:r>
          </w:p>
        </w:tc>
      </w:tr>
    </w:tbl>
    <w:p>
      <w:pPr>
        <w:pStyle w:val="Normal"/>
        <w:jc w:val="both"/>
        <w:rPr>
          <w:sz w:val="24"/>
          <w:szCs w:val="24"/>
        </w:rPr>
      </w:pPr>
      <w:r>
        <w:rPr>
          <w:sz w:val="24"/>
          <w:szCs w:val="24"/>
        </w:rPr>
      </w:r>
    </w:p>
    <w:p>
      <w:pPr>
        <w:pStyle w:val="Normal"/>
        <w:jc w:val="center"/>
        <w:rPr>
          <w:b/>
          <w:bCs/>
          <w:color w:val="FF0000"/>
          <w:sz w:val="24"/>
          <w:szCs w:val="24"/>
          <w:u w:val="single"/>
        </w:rPr>
      </w:pPr>
      <w:r>
        <w:rPr>
          <w:b/>
          <w:bCs/>
          <w:color w:val="FF0000"/>
          <w:sz w:val="24"/>
          <w:szCs w:val="24"/>
          <w:u w:val="single"/>
        </w:rPr>
        <w:t>DEC HEATING OIL UP 100 POINTS</w:t>
      </w:r>
    </w:p>
    <w:tbl>
      <w:tblPr>
        <w:tblW w:w="5472" w:type="dxa"/>
        <w:jc w:val="start"/>
        <w:tblInd w:w="0" w:type="dxa"/>
        <w:tblLayout w:type="fixed"/>
        <w:tblCellMar>
          <w:top w:w="0" w:type="dxa"/>
          <w:start w:w="108" w:type="dxa"/>
          <w:bottom w:w="0" w:type="dxa"/>
          <w:end w:w="108" w:type="dxa"/>
        </w:tblCellMar>
      </w:tblPr>
      <w:tblGrid>
        <w:gridCol w:w="3798"/>
        <w:gridCol w:w="1674"/>
      </w:tblGrid>
      <w:tr>
        <w:trPr/>
        <w:tc>
          <w:tcPr>
            <w:tcW w:w="5472" w:type="dxa"/>
            <w:gridSpan w:val="2"/>
            <w:tcBorders/>
          </w:tcPr>
          <w:p>
            <w:pPr>
              <w:pStyle w:val="Normal"/>
              <w:jc w:val="center"/>
              <w:rPr>
                <w:i/>
                <w:i/>
                <w:iCs/>
                <w:sz w:val="24"/>
                <w:szCs w:val="24"/>
              </w:rPr>
            </w:pPr>
            <w:r>
              <w:rPr>
                <w:i/>
                <w:iCs/>
                <w:sz w:val="24"/>
                <w:szCs w:val="24"/>
              </w:rPr>
              <w:t>NYMEX December 2000 Futures Contract</w:t>
            </w:r>
          </w:p>
        </w:tc>
      </w:tr>
      <w:tr>
        <w:trPr/>
        <w:tc>
          <w:tcPr>
            <w:tcW w:w="3798" w:type="dxa"/>
            <w:tcBorders/>
          </w:tcPr>
          <w:p>
            <w:pPr>
              <w:pStyle w:val="Normal"/>
              <w:jc w:val="both"/>
              <w:rPr>
                <w:sz w:val="24"/>
                <w:szCs w:val="24"/>
              </w:rPr>
            </w:pPr>
            <w:r>
              <w:rPr>
                <w:sz w:val="24"/>
                <w:szCs w:val="24"/>
              </w:rPr>
              <w:t>Close:</w:t>
            </w:r>
          </w:p>
        </w:tc>
        <w:tc>
          <w:tcPr>
            <w:tcW w:w="1674" w:type="dxa"/>
            <w:tcBorders/>
          </w:tcPr>
          <w:p>
            <w:pPr>
              <w:pStyle w:val="Normal"/>
              <w:jc w:val="end"/>
              <w:rPr>
                <w:sz w:val="24"/>
                <w:szCs w:val="24"/>
              </w:rPr>
            </w:pPr>
            <w:r>
              <w:rPr>
                <w:sz w:val="24"/>
                <w:szCs w:val="24"/>
              </w:rPr>
              <w:t>95.93</w:t>
            </w:r>
          </w:p>
        </w:tc>
      </w:tr>
      <w:tr>
        <w:trPr/>
        <w:tc>
          <w:tcPr>
            <w:tcW w:w="3798" w:type="dxa"/>
            <w:tcBorders/>
          </w:tcPr>
          <w:p>
            <w:pPr>
              <w:pStyle w:val="Normal"/>
              <w:jc w:val="both"/>
              <w:rPr>
                <w:sz w:val="24"/>
                <w:szCs w:val="24"/>
              </w:rPr>
            </w:pPr>
            <w:r>
              <w:rPr>
                <w:sz w:val="24"/>
                <w:szCs w:val="24"/>
              </w:rPr>
              <w:t>Change from previous day:</w:t>
            </w:r>
          </w:p>
        </w:tc>
        <w:tc>
          <w:tcPr>
            <w:tcW w:w="1674" w:type="dxa"/>
            <w:tcBorders/>
          </w:tcPr>
          <w:p>
            <w:pPr>
              <w:pStyle w:val="Normal"/>
              <w:jc w:val="end"/>
              <w:rPr>
                <w:sz w:val="24"/>
                <w:szCs w:val="24"/>
              </w:rPr>
            </w:pPr>
            <w:r>
              <w:rPr>
                <w:sz w:val="24"/>
                <w:szCs w:val="24"/>
              </w:rPr>
              <w:t>+1.00</w:t>
            </w:r>
          </w:p>
        </w:tc>
      </w:tr>
      <w:tr>
        <w:trPr/>
        <w:tc>
          <w:tcPr>
            <w:tcW w:w="3798" w:type="dxa"/>
            <w:tcBorders/>
          </w:tcPr>
          <w:p>
            <w:pPr>
              <w:pStyle w:val="Normal"/>
              <w:jc w:val="both"/>
              <w:rPr>
                <w:sz w:val="24"/>
                <w:szCs w:val="24"/>
              </w:rPr>
            </w:pPr>
            <w:r>
              <w:rPr>
                <w:sz w:val="24"/>
                <w:szCs w:val="24"/>
              </w:rPr>
              <w:t>High:</w:t>
            </w:r>
          </w:p>
        </w:tc>
        <w:tc>
          <w:tcPr>
            <w:tcW w:w="1674" w:type="dxa"/>
            <w:tcBorders/>
          </w:tcPr>
          <w:p>
            <w:pPr>
              <w:pStyle w:val="Normal"/>
              <w:jc w:val="end"/>
              <w:rPr>
                <w:sz w:val="24"/>
                <w:szCs w:val="24"/>
              </w:rPr>
            </w:pPr>
            <w:r>
              <w:rPr>
                <w:sz w:val="24"/>
                <w:szCs w:val="24"/>
              </w:rPr>
              <w:t>96.25</w:t>
            </w:r>
          </w:p>
        </w:tc>
      </w:tr>
      <w:tr>
        <w:trPr/>
        <w:tc>
          <w:tcPr>
            <w:tcW w:w="3798" w:type="dxa"/>
            <w:tcBorders/>
          </w:tcPr>
          <w:p>
            <w:pPr>
              <w:pStyle w:val="Normal"/>
              <w:jc w:val="both"/>
              <w:rPr>
                <w:sz w:val="24"/>
                <w:szCs w:val="24"/>
              </w:rPr>
            </w:pPr>
            <w:r>
              <w:rPr>
                <w:sz w:val="24"/>
                <w:szCs w:val="24"/>
              </w:rPr>
              <w:t>Low:</w:t>
            </w:r>
          </w:p>
        </w:tc>
        <w:tc>
          <w:tcPr>
            <w:tcW w:w="1674" w:type="dxa"/>
            <w:tcBorders/>
          </w:tcPr>
          <w:p>
            <w:pPr>
              <w:pStyle w:val="Normal"/>
              <w:jc w:val="end"/>
              <w:rPr>
                <w:sz w:val="24"/>
                <w:szCs w:val="24"/>
              </w:rPr>
            </w:pPr>
            <w:r>
              <w:rPr>
                <w:sz w:val="24"/>
                <w:szCs w:val="24"/>
              </w:rPr>
              <w:t>93.60</w:t>
            </w:r>
          </w:p>
        </w:tc>
      </w:tr>
      <w:tr>
        <w:trPr/>
        <w:tc>
          <w:tcPr>
            <w:tcW w:w="3798" w:type="dxa"/>
            <w:tcBorders/>
          </w:tcPr>
          <w:p>
            <w:pPr>
              <w:pStyle w:val="Normal"/>
              <w:jc w:val="both"/>
              <w:rPr>
                <w:sz w:val="24"/>
                <w:szCs w:val="24"/>
              </w:rPr>
            </w:pPr>
            <w:r>
              <w:rPr>
                <w:sz w:val="24"/>
                <w:szCs w:val="24"/>
              </w:rPr>
              <w:t>Open:</w:t>
            </w:r>
          </w:p>
        </w:tc>
        <w:tc>
          <w:tcPr>
            <w:tcW w:w="1674" w:type="dxa"/>
            <w:tcBorders/>
          </w:tcPr>
          <w:p>
            <w:pPr>
              <w:pStyle w:val="Normal"/>
              <w:jc w:val="end"/>
              <w:rPr>
                <w:sz w:val="24"/>
                <w:szCs w:val="24"/>
              </w:rPr>
            </w:pPr>
            <w:r>
              <w:rPr>
                <w:sz w:val="24"/>
                <w:szCs w:val="24"/>
              </w:rPr>
              <w:t>94.55</w:t>
            </w:r>
          </w:p>
        </w:tc>
      </w:tr>
    </w:tbl>
    <w:p>
      <w:pPr>
        <w:pStyle w:val="Normal"/>
        <w:jc w:val="both"/>
        <w:rPr>
          <w:b/>
          <w:bCs/>
          <w:color w:val="000000"/>
          <w:sz w:val="24"/>
          <w:szCs w:val="24"/>
          <w:u w:val="single"/>
        </w:rPr>
      </w:pPr>
      <w:r>
        <w:rPr>
          <w:b/>
          <w:bCs/>
          <w:color w:val="000000"/>
          <w:sz w:val="24"/>
          <w:szCs w:val="24"/>
          <w:u w:val="single"/>
        </w:rPr>
      </w:r>
    </w:p>
    <w:p>
      <w:pPr>
        <w:pStyle w:val="Normal"/>
        <w:jc w:val="center"/>
        <w:rPr>
          <w:b/>
          <w:bCs/>
          <w:color w:val="FF0000"/>
          <w:sz w:val="24"/>
          <w:szCs w:val="24"/>
          <w:u w:val="single"/>
        </w:rPr>
      </w:pPr>
      <w:r>
        <w:rPr>
          <w:b/>
          <w:bCs/>
          <w:color w:val="FF0000"/>
          <w:sz w:val="24"/>
          <w:szCs w:val="24"/>
          <w:u w:val="single"/>
        </w:rPr>
        <w:t>NOV GAS OIL UP $1.00 TON</w:t>
      </w:r>
    </w:p>
    <w:tbl>
      <w:tblPr>
        <w:tblW w:w="5472" w:type="dxa"/>
        <w:jc w:val="start"/>
        <w:tblInd w:w="0" w:type="dxa"/>
        <w:tblLayout w:type="fixed"/>
        <w:tblCellMar>
          <w:top w:w="0" w:type="dxa"/>
          <w:start w:w="108" w:type="dxa"/>
          <w:bottom w:w="0" w:type="dxa"/>
          <w:end w:w="108" w:type="dxa"/>
        </w:tblCellMar>
      </w:tblPr>
      <w:tblGrid>
        <w:gridCol w:w="3798"/>
        <w:gridCol w:w="1674"/>
      </w:tblGrid>
      <w:tr>
        <w:trPr/>
        <w:tc>
          <w:tcPr>
            <w:tcW w:w="5472" w:type="dxa"/>
            <w:gridSpan w:val="2"/>
            <w:tcBorders/>
          </w:tcPr>
          <w:p>
            <w:pPr>
              <w:pStyle w:val="Normal"/>
              <w:jc w:val="center"/>
              <w:rPr>
                <w:i/>
                <w:i/>
                <w:iCs/>
                <w:sz w:val="24"/>
                <w:szCs w:val="24"/>
              </w:rPr>
            </w:pPr>
            <w:r>
              <w:rPr>
                <w:i/>
                <w:iCs/>
                <w:sz w:val="24"/>
                <w:szCs w:val="24"/>
              </w:rPr>
              <w:t>IPE November 2000 Futures Contract</w:t>
            </w:r>
          </w:p>
        </w:tc>
      </w:tr>
      <w:tr>
        <w:trPr/>
        <w:tc>
          <w:tcPr>
            <w:tcW w:w="3798" w:type="dxa"/>
            <w:tcBorders/>
          </w:tcPr>
          <w:p>
            <w:pPr>
              <w:pStyle w:val="Normal"/>
              <w:jc w:val="both"/>
              <w:rPr>
                <w:sz w:val="24"/>
                <w:szCs w:val="24"/>
              </w:rPr>
            </w:pPr>
            <w:r>
              <w:rPr>
                <w:sz w:val="24"/>
                <w:szCs w:val="24"/>
              </w:rPr>
              <w:t>Close:</w:t>
            </w:r>
          </w:p>
        </w:tc>
        <w:tc>
          <w:tcPr>
            <w:tcW w:w="1674" w:type="dxa"/>
            <w:tcBorders/>
          </w:tcPr>
          <w:p>
            <w:pPr>
              <w:pStyle w:val="Normal"/>
              <w:jc w:val="end"/>
              <w:rPr>
                <w:sz w:val="24"/>
                <w:szCs w:val="24"/>
              </w:rPr>
            </w:pPr>
            <w:r>
              <w:rPr>
                <w:sz w:val="24"/>
                <w:szCs w:val="24"/>
              </w:rPr>
              <w:t>$286.50</w:t>
            </w:r>
          </w:p>
        </w:tc>
      </w:tr>
      <w:tr>
        <w:trPr/>
        <w:tc>
          <w:tcPr>
            <w:tcW w:w="3798" w:type="dxa"/>
            <w:tcBorders/>
          </w:tcPr>
          <w:p>
            <w:pPr>
              <w:pStyle w:val="Normal"/>
              <w:jc w:val="both"/>
              <w:rPr>
                <w:sz w:val="24"/>
                <w:szCs w:val="24"/>
              </w:rPr>
            </w:pPr>
            <w:r>
              <w:rPr>
                <w:sz w:val="24"/>
                <w:szCs w:val="24"/>
              </w:rPr>
              <w:t>Change from previous day:</w:t>
            </w:r>
          </w:p>
        </w:tc>
        <w:tc>
          <w:tcPr>
            <w:tcW w:w="1674" w:type="dxa"/>
            <w:tcBorders/>
          </w:tcPr>
          <w:p>
            <w:pPr>
              <w:pStyle w:val="Normal"/>
              <w:jc w:val="end"/>
              <w:rPr>
                <w:sz w:val="24"/>
                <w:szCs w:val="24"/>
              </w:rPr>
            </w:pPr>
            <w:r>
              <w:rPr>
                <w:sz w:val="24"/>
                <w:szCs w:val="24"/>
              </w:rPr>
              <w:t>+1.00</w:t>
            </w:r>
          </w:p>
        </w:tc>
      </w:tr>
      <w:tr>
        <w:trPr/>
        <w:tc>
          <w:tcPr>
            <w:tcW w:w="3798" w:type="dxa"/>
            <w:tcBorders/>
          </w:tcPr>
          <w:p>
            <w:pPr>
              <w:pStyle w:val="Normal"/>
              <w:jc w:val="both"/>
              <w:rPr>
                <w:sz w:val="24"/>
                <w:szCs w:val="24"/>
              </w:rPr>
            </w:pPr>
            <w:r>
              <w:rPr>
                <w:sz w:val="24"/>
                <w:szCs w:val="24"/>
              </w:rPr>
              <w:t>High:</w:t>
            </w:r>
          </w:p>
        </w:tc>
        <w:tc>
          <w:tcPr>
            <w:tcW w:w="1674" w:type="dxa"/>
            <w:tcBorders/>
          </w:tcPr>
          <w:p>
            <w:pPr>
              <w:pStyle w:val="Normal"/>
              <w:jc w:val="end"/>
              <w:rPr>
                <w:sz w:val="24"/>
                <w:szCs w:val="24"/>
              </w:rPr>
            </w:pPr>
            <w:r>
              <w:rPr>
                <w:sz w:val="24"/>
                <w:szCs w:val="24"/>
              </w:rPr>
              <w:t>$286.75</w:t>
            </w:r>
          </w:p>
        </w:tc>
      </w:tr>
      <w:tr>
        <w:trPr/>
        <w:tc>
          <w:tcPr>
            <w:tcW w:w="3798" w:type="dxa"/>
            <w:tcBorders/>
          </w:tcPr>
          <w:p>
            <w:pPr>
              <w:pStyle w:val="Normal"/>
              <w:jc w:val="both"/>
              <w:rPr>
                <w:sz w:val="24"/>
                <w:szCs w:val="24"/>
              </w:rPr>
            </w:pPr>
            <w:r>
              <w:rPr>
                <w:sz w:val="24"/>
                <w:szCs w:val="24"/>
              </w:rPr>
              <w:t>Low:</w:t>
            </w:r>
          </w:p>
        </w:tc>
        <w:tc>
          <w:tcPr>
            <w:tcW w:w="1674" w:type="dxa"/>
            <w:tcBorders/>
          </w:tcPr>
          <w:p>
            <w:pPr>
              <w:pStyle w:val="Normal"/>
              <w:jc w:val="end"/>
              <w:rPr>
                <w:sz w:val="24"/>
                <w:szCs w:val="24"/>
              </w:rPr>
            </w:pPr>
            <w:r>
              <w:rPr>
                <w:sz w:val="24"/>
                <w:szCs w:val="24"/>
              </w:rPr>
              <w:t>$282.00</w:t>
            </w:r>
          </w:p>
        </w:tc>
      </w:tr>
      <w:tr>
        <w:trPr/>
        <w:tc>
          <w:tcPr>
            <w:tcW w:w="3798" w:type="dxa"/>
            <w:tcBorders/>
          </w:tcPr>
          <w:p>
            <w:pPr>
              <w:pStyle w:val="Normal"/>
              <w:jc w:val="both"/>
              <w:rPr>
                <w:sz w:val="24"/>
                <w:szCs w:val="24"/>
              </w:rPr>
            </w:pPr>
            <w:r>
              <w:rPr>
                <w:sz w:val="24"/>
                <w:szCs w:val="24"/>
              </w:rPr>
              <w:t>Open:</w:t>
            </w:r>
          </w:p>
        </w:tc>
        <w:tc>
          <w:tcPr>
            <w:tcW w:w="1674" w:type="dxa"/>
            <w:tcBorders/>
          </w:tcPr>
          <w:p>
            <w:pPr>
              <w:pStyle w:val="Normal"/>
              <w:jc w:val="end"/>
              <w:rPr>
                <w:sz w:val="24"/>
                <w:szCs w:val="24"/>
              </w:rPr>
            </w:pPr>
            <w:r>
              <w:rPr>
                <w:sz w:val="24"/>
                <w:szCs w:val="24"/>
              </w:rPr>
              <w:t>$285.00</w:t>
            </w:r>
          </w:p>
        </w:tc>
      </w:tr>
    </w:tbl>
    <w:p>
      <w:pPr>
        <w:pStyle w:val="Normal"/>
        <w:jc w:val="both"/>
        <w:rPr>
          <w:b/>
          <w:bCs/>
          <w:color w:val="000000"/>
          <w:sz w:val="24"/>
          <w:szCs w:val="24"/>
          <w:u w:val="single"/>
        </w:rPr>
      </w:pPr>
      <w:r>
        <w:rPr>
          <w:b/>
          <w:bCs/>
          <w:color w:val="000000"/>
          <w:sz w:val="24"/>
          <w:szCs w:val="24"/>
          <w:u w:val="single"/>
        </w:rPr>
      </w:r>
    </w:p>
    <w:p>
      <w:pPr>
        <w:pStyle w:val="Normal"/>
        <w:jc w:val="center"/>
        <w:rPr/>
      </w:pPr>
      <w:r>
        <w:rPr/>
        <w:t xml:space="preserve">DEC NATURAL GAS UP 25.7 CENTS </w:t>
      </w:r>
    </w:p>
    <w:tbl>
      <w:tblPr>
        <w:tblW w:w="5472" w:type="dxa"/>
        <w:jc w:val="start"/>
        <w:tblInd w:w="0" w:type="dxa"/>
        <w:tblLayout w:type="fixed"/>
        <w:tblCellMar>
          <w:top w:w="0" w:type="dxa"/>
          <w:start w:w="108" w:type="dxa"/>
          <w:bottom w:w="0" w:type="dxa"/>
          <w:end w:w="108" w:type="dxa"/>
        </w:tblCellMar>
      </w:tblPr>
      <w:tblGrid>
        <w:gridCol w:w="3798"/>
        <w:gridCol w:w="1674"/>
      </w:tblGrid>
      <w:tr>
        <w:trPr/>
        <w:tc>
          <w:tcPr>
            <w:tcW w:w="5472" w:type="dxa"/>
            <w:gridSpan w:val="2"/>
            <w:tcBorders/>
          </w:tcPr>
          <w:p>
            <w:pPr>
              <w:pStyle w:val="Normal"/>
              <w:jc w:val="center"/>
              <w:rPr>
                <w:i/>
                <w:i/>
                <w:iCs/>
                <w:sz w:val="24"/>
                <w:szCs w:val="24"/>
              </w:rPr>
            </w:pPr>
            <w:bookmarkStart w:id="4" w:name="FutActNGb"/>
            <w:bookmarkEnd w:id="4"/>
            <w:r>
              <w:rPr>
                <w:i/>
                <w:iCs/>
                <w:sz w:val="24"/>
                <w:szCs w:val="24"/>
              </w:rPr>
              <w:t>NYMEX December 2000 Futures Contract</w:t>
            </w:r>
          </w:p>
        </w:tc>
      </w:tr>
      <w:tr>
        <w:trPr/>
        <w:tc>
          <w:tcPr>
            <w:tcW w:w="3798" w:type="dxa"/>
            <w:tcBorders/>
          </w:tcPr>
          <w:p>
            <w:pPr>
              <w:pStyle w:val="Normal"/>
              <w:jc w:val="both"/>
              <w:rPr>
                <w:sz w:val="24"/>
                <w:szCs w:val="24"/>
              </w:rPr>
            </w:pPr>
            <w:r>
              <w:rPr>
                <w:sz w:val="24"/>
                <w:szCs w:val="24"/>
              </w:rPr>
              <w:t>Close:</w:t>
            </w:r>
          </w:p>
        </w:tc>
        <w:tc>
          <w:tcPr>
            <w:tcW w:w="1674" w:type="dxa"/>
            <w:tcBorders/>
          </w:tcPr>
          <w:p>
            <w:pPr>
              <w:pStyle w:val="Normal"/>
              <w:jc w:val="end"/>
              <w:rPr>
                <w:sz w:val="24"/>
                <w:szCs w:val="24"/>
              </w:rPr>
            </w:pPr>
            <w:r>
              <w:rPr>
                <w:sz w:val="24"/>
                <w:szCs w:val="24"/>
              </w:rPr>
              <w:t>$5.338</w:t>
            </w:r>
          </w:p>
        </w:tc>
      </w:tr>
      <w:tr>
        <w:trPr/>
        <w:tc>
          <w:tcPr>
            <w:tcW w:w="3798" w:type="dxa"/>
            <w:tcBorders/>
          </w:tcPr>
          <w:p>
            <w:pPr>
              <w:pStyle w:val="Normal"/>
              <w:jc w:val="both"/>
              <w:rPr>
                <w:sz w:val="24"/>
                <w:szCs w:val="24"/>
              </w:rPr>
            </w:pPr>
            <w:r>
              <w:rPr>
                <w:sz w:val="24"/>
                <w:szCs w:val="24"/>
              </w:rPr>
              <w:t>Change from previous day:</w:t>
            </w:r>
          </w:p>
        </w:tc>
        <w:tc>
          <w:tcPr>
            <w:tcW w:w="1674" w:type="dxa"/>
            <w:tcBorders/>
          </w:tcPr>
          <w:p>
            <w:pPr>
              <w:pStyle w:val="Normal"/>
              <w:jc w:val="end"/>
              <w:rPr>
                <w:sz w:val="24"/>
                <w:szCs w:val="24"/>
              </w:rPr>
            </w:pPr>
            <w:r>
              <w:rPr>
                <w:sz w:val="24"/>
                <w:szCs w:val="24"/>
              </w:rPr>
              <w:t>+.257</w:t>
            </w:r>
          </w:p>
        </w:tc>
      </w:tr>
      <w:tr>
        <w:trPr/>
        <w:tc>
          <w:tcPr>
            <w:tcW w:w="3798" w:type="dxa"/>
            <w:tcBorders/>
          </w:tcPr>
          <w:p>
            <w:pPr>
              <w:pStyle w:val="Normal"/>
              <w:jc w:val="both"/>
              <w:rPr>
                <w:sz w:val="24"/>
                <w:szCs w:val="24"/>
              </w:rPr>
            </w:pPr>
            <w:r>
              <w:rPr>
                <w:sz w:val="24"/>
                <w:szCs w:val="24"/>
              </w:rPr>
              <w:t>High:</w:t>
            </w:r>
          </w:p>
        </w:tc>
        <w:tc>
          <w:tcPr>
            <w:tcW w:w="1674" w:type="dxa"/>
            <w:tcBorders/>
          </w:tcPr>
          <w:p>
            <w:pPr>
              <w:pStyle w:val="Normal"/>
              <w:jc w:val="end"/>
              <w:rPr>
                <w:sz w:val="24"/>
                <w:szCs w:val="24"/>
              </w:rPr>
            </w:pPr>
            <w:r>
              <w:rPr>
                <w:sz w:val="24"/>
                <w:szCs w:val="24"/>
              </w:rPr>
              <w:t>$5.440</w:t>
            </w:r>
          </w:p>
        </w:tc>
      </w:tr>
      <w:tr>
        <w:trPr/>
        <w:tc>
          <w:tcPr>
            <w:tcW w:w="3798" w:type="dxa"/>
            <w:tcBorders/>
          </w:tcPr>
          <w:p>
            <w:pPr>
              <w:pStyle w:val="Normal"/>
              <w:jc w:val="both"/>
              <w:rPr>
                <w:sz w:val="24"/>
                <w:szCs w:val="24"/>
              </w:rPr>
            </w:pPr>
            <w:r>
              <w:rPr>
                <w:sz w:val="24"/>
                <w:szCs w:val="24"/>
              </w:rPr>
              <w:t>Low:</w:t>
            </w:r>
          </w:p>
        </w:tc>
        <w:tc>
          <w:tcPr>
            <w:tcW w:w="1674" w:type="dxa"/>
            <w:tcBorders/>
          </w:tcPr>
          <w:p>
            <w:pPr>
              <w:pStyle w:val="Normal"/>
              <w:jc w:val="end"/>
              <w:rPr>
                <w:sz w:val="24"/>
                <w:szCs w:val="24"/>
              </w:rPr>
            </w:pPr>
            <w:r>
              <w:rPr>
                <w:sz w:val="24"/>
                <w:szCs w:val="24"/>
              </w:rPr>
              <w:t>$5.160</w:t>
            </w:r>
          </w:p>
        </w:tc>
      </w:tr>
      <w:tr>
        <w:trPr/>
        <w:tc>
          <w:tcPr>
            <w:tcW w:w="3798" w:type="dxa"/>
            <w:tcBorders/>
          </w:tcPr>
          <w:p>
            <w:pPr>
              <w:pStyle w:val="Normal"/>
              <w:jc w:val="both"/>
              <w:rPr>
                <w:sz w:val="24"/>
                <w:szCs w:val="24"/>
              </w:rPr>
            </w:pPr>
            <w:r>
              <w:rPr>
                <w:sz w:val="24"/>
                <w:szCs w:val="24"/>
              </w:rPr>
              <w:t>Open:</w:t>
            </w:r>
          </w:p>
        </w:tc>
        <w:tc>
          <w:tcPr>
            <w:tcW w:w="1674" w:type="dxa"/>
            <w:tcBorders/>
          </w:tcPr>
          <w:p>
            <w:pPr>
              <w:pStyle w:val="Normal"/>
              <w:jc w:val="end"/>
              <w:rPr>
                <w:sz w:val="24"/>
                <w:szCs w:val="24"/>
              </w:rPr>
            </w:pPr>
            <w:r>
              <w:rPr>
                <w:sz w:val="24"/>
                <w:szCs w:val="24"/>
              </w:rPr>
              <w:t>$5.170</w:t>
            </w:r>
          </w:p>
        </w:tc>
      </w:tr>
    </w:tbl>
    <w:p>
      <w:pPr>
        <w:pStyle w:val="Normal"/>
        <w:jc w:val="both"/>
        <w:rPr>
          <w:color w:val="000000"/>
          <w:sz w:val="24"/>
          <w:szCs w:val="24"/>
        </w:rPr>
      </w:pPr>
      <w:r>
        <w:rPr>
          <w:color w:val="000000"/>
          <w:sz w:val="24"/>
          <w:szCs w:val="24"/>
        </w:rPr>
      </w:r>
    </w:p>
    <w:p>
      <w:pPr>
        <w:sectPr>
          <w:type w:val="continuous"/>
          <w:pgSz w:w="12240" w:h="15840"/>
          <w:pgMar w:left="720" w:right="720" w:gutter="0" w:header="0" w:top="720" w:footer="965" w:bottom="1021"/>
          <w:cols w:num="2" w:space="288" w:equalWidth="true" w:sep="false"/>
          <w:formProt w:val="false"/>
          <w:textDirection w:val="lrTb"/>
        </w:sectPr>
      </w:pPr>
    </w:p>
    <w:p>
      <w:pPr>
        <w:pStyle w:val="Normal"/>
        <w:jc w:val="both"/>
        <w:rPr>
          <w:b/>
          <w:bCs/>
          <w:color w:val="0000FF"/>
          <w:sz w:val="24"/>
          <w:szCs w:val="24"/>
        </w:rPr>
      </w:pPr>
      <w:r>
        <w:rPr>
          <w:color w:val="000000"/>
          <w:sz w:val="24"/>
          <w:szCs w:val="24"/>
        </w:rPr>
        <w:t xml:space="preserve">   </w:t>
      </w:r>
    </w:p>
    <w:p>
      <w:pPr>
        <w:sectPr>
          <w:type w:val="continuous"/>
          <w:pgSz w:w="12240" w:h="15840"/>
          <w:pgMar w:left="720" w:right="720" w:gutter="0" w:header="0" w:top="720" w:footer="965" w:bottom="1021"/>
          <w:cols w:num="2" w:space="288" w:equalWidth="true" w:sep="false"/>
          <w:formProt w:val="false"/>
          <w:textDirection w:val="lrTb"/>
        </w:sectPr>
      </w:pPr>
    </w:p>
    <w:p>
      <w:pPr>
        <w:pStyle w:val="Normal"/>
        <w:jc w:val="both"/>
        <w:rPr>
          <w:b/>
          <w:bCs/>
          <w:color w:val="0000FF"/>
          <w:sz w:val="24"/>
          <w:szCs w:val="24"/>
        </w:rPr>
      </w:pPr>
      <w:r>
        <w:rPr>
          <w:b/>
          <w:bCs/>
          <w:color w:val="0000FF"/>
          <w:sz w:val="24"/>
          <w:szCs w:val="24"/>
        </w:rPr>
      </w:r>
    </w:p>
    <w:p>
      <w:pPr>
        <w:pStyle w:val="Normal"/>
        <w:pBdr>
          <w:top w:val="single" w:sz="18" w:space="1" w:color="0000FF"/>
          <w:left w:val="single" w:sz="18" w:space="1" w:color="0000FF"/>
          <w:bottom w:val="single" w:sz="18" w:space="1" w:color="0000FF"/>
          <w:right w:val="single" w:sz="18" w:space="1" w:color="0000FF"/>
        </w:pBdr>
        <w:jc w:val="center"/>
        <w:rPr>
          <w:b/>
          <w:bCs/>
          <w:color w:val="0000FF"/>
          <w:sz w:val="24"/>
          <w:szCs w:val="24"/>
        </w:rPr>
      </w:pPr>
      <w:r>
        <w:rPr>
          <w:b/>
          <w:bCs/>
          <w:color w:val="0000FF"/>
          <w:sz w:val="24"/>
          <w:szCs w:val="24"/>
        </w:rPr>
        <w:t>Technical Analysis</w:t>
      </w:r>
    </w:p>
    <w:p>
      <w:pPr>
        <w:pStyle w:val="Normal"/>
        <w:jc w:val="both"/>
        <w:rPr>
          <w:b/>
          <w:bCs/>
          <w:color w:val="0000FF"/>
          <w:sz w:val="16"/>
          <w:szCs w:val="16"/>
        </w:rPr>
      </w:pPr>
      <w:r>
        <w:rPr>
          <w:b/>
          <w:bCs/>
          <w:color w:val="0000FF"/>
          <w:sz w:val="16"/>
          <w:szCs w:val="16"/>
        </w:rPr>
      </w:r>
    </w:p>
    <w:p>
      <w:pPr>
        <w:pStyle w:val="Normal"/>
        <w:jc w:val="center"/>
        <w:rPr>
          <w:b/>
          <w:bCs/>
          <w:color w:val="000000"/>
          <w:sz w:val="24"/>
          <w:szCs w:val="24"/>
          <w:u w:val="single"/>
        </w:rPr>
      </w:pPr>
      <w:r>
        <w:rPr>
          <w:b/>
          <w:bCs/>
          <w:color w:val="000000"/>
          <w:sz w:val="24"/>
          <w:szCs w:val="24"/>
          <w:u w:val="single"/>
        </w:rPr>
        <w:t>DEC CRUDE OIL - SHORT TERM TREND IS SIDEWAYS - OBJECTIVE: NONE</w:t>
      </w:r>
    </w:p>
    <w:p>
      <w:pPr>
        <w:sectPr>
          <w:type w:val="continuous"/>
          <w:pgSz w:w="12240" w:h="15840"/>
          <w:pgMar w:left="720" w:right="720" w:gutter="0" w:header="0" w:top="720" w:footer="965" w:bottom="1021"/>
          <w:formProt w:val="false"/>
          <w:textDirection w:val="lrTb"/>
        </w:sectPr>
      </w:pPr>
    </w:p>
    <w:p>
      <w:pPr>
        <w:pStyle w:val="Normal"/>
        <w:rPr>
          <w:sz w:val="24"/>
          <w:szCs w:val="24"/>
        </w:rPr>
      </w:pPr>
      <w:r>
        <w:rPr>
          <w:sz w:val="24"/>
          <w:szCs w:val="24"/>
        </w:rPr>
        <w:t xml:space="preserve">Resist: 33.80-33.94   </w:t>
      </w:r>
    </w:p>
    <w:p>
      <w:pPr>
        <w:pStyle w:val="Normal"/>
        <w:rPr>
          <w:sz w:val="24"/>
          <w:szCs w:val="24"/>
        </w:rPr>
      </w:pPr>
      <w:r>
        <w:rPr>
          <w:sz w:val="24"/>
          <w:szCs w:val="24"/>
        </w:rPr>
        <w:t xml:space="preserve">Support: 32.75-32.65   </w:t>
      </w:r>
    </w:p>
    <w:p>
      <w:pPr>
        <w:pStyle w:val="Normal"/>
        <w:rPr>
          <w:sz w:val="24"/>
          <w:szCs w:val="24"/>
        </w:rPr>
      </w:pPr>
      <w:r>
        <w:rPr>
          <w:sz w:val="24"/>
          <w:szCs w:val="24"/>
        </w:rPr>
        <w:t xml:space="preserve">The short term trend for Dec Crude Oil is neutral in a converging pattern with very recent action looking also neutral.  Swing targets for this range are 34.25 on the upside, or 30.66 if a breakdown occurs.  Look for support today from 32.75 to 32.65 and resist between 33.80 and 33.94.  Historical analysis of this near term pattern shows a moderately bearish bias for today, with the odds of closing below yesterday's close in the next two sessions at 69 percent. </w:t>
      </w:r>
    </w:p>
    <w:p>
      <w:pPr>
        <w:sectPr>
          <w:type w:val="continuous"/>
          <w:pgSz w:w="12240" w:h="15840"/>
          <w:pgMar w:left="720" w:right="720" w:gutter="0" w:header="0" w:top="720" w:footer="965" w:bottom="1021"/>
          <w:cols w:num="2" w:space="288" w:equalWidth="true" w:sep="false"/>
          <w:formProt w:val="false"/>
          <w:textDirection w:val="lrTb"/>
        </w:sectPr>
      </w:pPr>
    </w:p>
    <w:p>
      <w:pPr>
        <w:pStyle w:val="Normal"/>
        <w:jc w:val="both"/>
        <w:rPr>
          <w:b/>
          <w:bCs/>
          <w:color w:val="000000"/>
          <w:sz w:val="16"/>
          <w:szCs w:val="16"/>
          <w:u w:val="single"/>
        </w:rPr>
      </w:pPr>
      <w:r>
        <w:rPr>
          <w:b/>
          <w:bCs/>
          <w:color w:val="000000"/>
          <w:sz w:val="16"/>
          <w:szCs w:val="16"/>
          <w:u w:val="single"/>
        </w:rPr>
      </w:r>
    </w:p>
    <w:p>
      <w:pPr>
        <w:pStyle w:val="Normal"/>
        <w:jc w:val="center"/>
        <w:rPr>
          <w:b/>
          <w:bCs/>
          <w:color w:val="000000"/>
          <w:sz w:val="24"/>
          <w:szCs w:val="24"/>
          <w:u w:val="single"/>
        </w:rPr>
      </w:pPr>
      <w:r>
        <w:rPr>
          <w:b/>
          <w:bCs/>
          <w:color w:val="000000"/>
          <w:sz w:val="24"/>
          <w:szCs w:val="24"/>
          <w:u w:val="single"/>
        </w:rPr>
        <w:t>DEC HEATING OIL - SHORT TERM TREND UP - OBJECTIVE: 99.38</w:t>
      </w:r>
    </w:p>
    <w:p>
      <w:pPr>
        <w:sectPr>
          <w:type w:val="continuous"/>
          <w:pgSz w:w="12240" w:h="15840"/>
          <w:pgMar w:left="720" w:right="720" w:gutter="0" w:header="0" w:top="720" w:footer="965" w:bottom="1021"/>
          <w:formProt w:val="false"/>
          <w:textDirection w:val="lrTb"/>
        </w:sectPr>
      </w:pPr>
    </w:p>
    <w:p>
      <w:pPr>
        <w:pStyle w:val="Normal"/>
        <w:jc w:val="both"/>
        <w:rPr>
          <w:sz w:val="24"/>
          <w:szCs w:val="24"/>
        </w:rPr>
      </w:pPr>
      <w:r>
        <w:rPr>
          <w:sz w:val="24"/>
          <w:szCs w:val="24"/>
        </w:rPr>
        <w:t xml:space="preserve">Resist: 97.50-98.35   short term Trend: Up (95.93)   Support: 94.54-94.16 </w:t>
      </w:r>
    </w:p>
    <w:p>
      <w:pPr>
        <w:pStyle w:val="Normal"/>
        <w:jc w:val="both"/>
        <w:rPr>
          <w:sz w:val="24"/>
          <w:szCs w:val="24"/>
        </w:rPr>
      </w:pPr>
      <w:r>
        <w:rPr>
          <w:sz w:val="24"/>
          <w:szCs w:val="24"/>
        </w:rPr>
        <w:t>Trend reversal point: 90.00 Yesterday's rally has changed the minor trend for Dec Heat Oil to up with very recent action looking strong.  The upside target zone for this pattern is from 99.38 to 101.40, with a penetration of 90.00 needed to negate the formation.  Look for support today from 94.54 to 94.16 and resist between 97.50 and 98.35.  Historical analysis of this near term pattern shows a slightly negative bias for today, with the odds of closing below yesterday's close in the next two sessions at 68 percent.</w:t>
      </w:r>
    </w:p>
    <w:p>
      <w:pPr>
        <w:sectPr>
          <w:type w:val="continuous"/>
          <w:pgSz w:w="12240" w:h="15840"/>
          <w:pgMar w:left="720" w:right="720" w:gutter="0" w:header="0" w:top="720" w:footer="965" w:bottom="1021"/>
          <w:cols w:num="2" w:space="288" w:equalWidth="true" w:sep="false"/>
          <w:formProt w:val="false"/>
          <w:textDirection w:val="lrTb"/>
        </w:sectPr>
      </w:pPr>
    </w:p>
    <w:p>
      <w:pPr>
        <w:pStyle w:val="Normal"/>
        <w:jc w:val="center"/>
        <w:rPr>
          <w:b/>
          <w:bCs/>
          <w:color w:val="000000"/>
          <w:sz w:val="16"/>
          <w:szCs w:val="16"/>
          <w:u w:val="single"/>
        </w:rPr>
      </w:pPr>
      <w:r>
        <w:rPr>
          <w:b/>
          <w:bCs/>
          <w:color w:val="000000"/>
          <w:sz w:val="16"/>
          <w:szCs w:val="16"/>
          <w:u w:val="single"/>
        </w:rPr>
      </w:r>
    </w:p>
    <w:p>
      <w:pPr>
        <w:pStyle w:val="Normal"/>
        <w:jc w:val="center"/>
        <w:rPr>
          <w:b/>
          <w:bCs/>
          <w:sz w:val="24"/>
          <w:szCs w:val="24"/>
          <w:u w:val="single"/>
        </w:rPr>
      </w:pPr>
      <w:r>
        <w:rPr>
          <w:b/>
          <w:bCs/>
          <w:color w:val="000000"/>
          <w:sz w:val="24"/>
          <w:szCs w:val="24"/>
          <w:u w:val="single"/>
        </w:rPr>
        <w:t>DEC UNLEADED - SHORT TERM TREND UP - OBJECTIVE: 92.25</w:t>
      </w:r>
    </w:p>
    <w:p>
      <w:pPr>
        <w:sectPr>
          <w:type w:val="continuous"/>
          <w:pgSz w:w="12240" w:h="15840"/>
          <w:pgMar w:left="720" w:right="720" w:gutter="0" w:header="0" w:top="720" w:footer="965" w:bottom="1021"/>
          <w:formProt w:val="false"/>
          <w:textDirection w:val="lrTb"/>
        </w:sectPr>
      </w:pPr>
    </w:p>
    <w:p>
      <w:pPr>
        <w:pStyle w:val="Normal"/>
        <w:jc w:val="both"/>
        <w:rPr>
          <w:sz w:val="24"/>
          <w:szCs w:val="24"/>
        </w:rPr>
      </w:pPr>
      <w:r>
        <w:rPr>
          <w:sz w:val="24"/>
          <w:szCs w:val="24"/>
        </w:rPr>
        <w:t xml:space="preserve">Resist: 88.67-89.05   </w:t>
      </w:r>
    </w:p>
    <w:p>
      <w:pPr>
        <w:pStyle w:val="Normal"/>
        <w:jc w:val="both"/>
        <w:rPr>
          <w:sz w:val="24"/>
          <w:szCs w:val="24"/>
        </w:rPr>
      </w:pPr>
      <w:r>
        <w:rPr>
          <w:sz w:val="24"/>
          <w:szCs w:val="24"/>
        </w:rPr>
        <w:t xml:space="preserve">Support: 86.03-85.02   </w:t>
      </w:r>
    </w:p>
    <w:p>
      <w:pPr>
        <w:pStyle w:val="Normal"/>
        <w:jc w:val="both"/>
        <w:rPr>
          <w:sz w:val="24"/>
          <w:szCs w:val="24"/>
        </w:rPr>
      </w:pPr>
      <w:r>
        <w:rPr>
          <w:sz w:val="24"/>
          <w:szCs w:val="24"/>
        </w:rPr>
        <w:t xml:space="preserve">Trend reversal point: 85.50 </w:t>
      </w:r>
    </w:p>
    <w:p>
      <w:pPr>
        <w:pStyle w:val="Normal"/>
        <w:jc w:val="both"/>
        <w:rPr>
          <w:b/>
          <w:bCs/>
          <w:color w:val="000000"/>
          <w:sz w:val="24"/>
          <w:szCs w:val="24"/>
          <w:u w:val="single"/>
        </w:rPr>
      </w:pPr>
      <w:r>
        <w:rPr>
          <w:sz w:val="24"/>
          <w:szCs w:val="24"/>
        </w:rPr>
        <w:t>The short term trend for Dec Unlead is up with very recent action looking a bit soft.  The upside target zone for this pattern is from 91.20 to 93.30, with a penetration of 85.50 needed to negate the formation.  Look for support today from 86.03 to 85.02 and resist between 88.67 and 89.05.  Historical analysis of this near term pattern shows a slightly negative bias for today, with the odds of closing below yesterday's close in the next two sessions at 66 percent.</w:t>
      </w:r>
    </w:p>
    <w:p>
      <w:pPr>
        <w:sectPr>
          <w:type w:val="continuous"/>
          <w:pgSz w:w="12240" w:h="15840"/>
          <w:pgMar w:left="720" w:right="720" w:gutter="0" w:header="0" w:top="720" w:footer="965" w:bottom="1021"/>
          <w:cols w:num="2" w:space="288" w:equalWidth="true" w:sep="false"/>
          <w:formProt w:val="false"/>
          <w:textDirection w:val="lrTb"/>
        </w:sectPr>
      </w:pPr>
    </w:p>
    <w:p>
      <w:pPr>
        <w:pStyle w:val="Normal"/>
        <w:jc w:val="both"/>
        <w:rPr>
          <w:b/>
          <w:bCs/>
          <w:color w:val="000000"/>
          <w:sz w:val="16"/>
          <w:szCs w:val="16"/>
          <w:u w:val="single"/>
        </w:rPr>
      </w:pPr>
      <w:r>
        <w:rPr>
          <w:b/>
          <w:bCs/>
          <w:color w:val="000000"/>
          <w:sz w:val="16"/>
          <w:szCs w:val="16"/>
          <w:u w:val="single"/>
        </w:rPr>
      </w:r>
    </w:p>
    <w:p>
      <w:pPr>
        <w:pStyle w:val="Normal"/>
        <w:jc w:val="center"/>
        <w:rPr>
          <w:color w:val="000000"/>
          <w:sz w:val="24"/>
          <w:szCs w:val="24"/>
        </w:rPr>
      </w:pPr>
      <w:r>
        <w:rPr>
          <w:b/>
          <w:bCs/>
          <w:color w:val="000000"/>
          <w:sz w:val="24"/>
          <w:szCs w:val="24"/>
          <w:u w:val="single"/>
        </w:rPr>
        <w:t xml:space="preserve">DEC NATURAL GAS - SHORT TERM TREND IS UP - OBJECTIVE </w:t>
      </w:r>
      <w:r>
        <w:rPr>
          <w:b/>
          <w:bCs/>
          <w:sz w:val="24"/>
          <w:szCs w:val="24"/>
          <w:u w:val="single"/>
        </w:rPr>
        <w:t>5.970</w:t>
      </w:r>
    </w:p>
    <w:p>
      <w:pPr>
        <w:sectPr>
          <w:type w:val="continuous"/>
          <w:pgSz w:w="12240" w:h="15840"/>
          <w:pgMar w:left="720" w:right="720" w:gutter="0" w:header="0" w:top="720" w:footer="965" w:bottom="1021"/>
          <w:formProt w:val="false"/>
          <w:textDirection w:val="lrTb"/>
        </w:sectPr>
      </w:pPr>
    </w:p>
    <w:p>
      <w:pPr>
        <w:pStyle w:val="Normal"/>
        <w:rPr>
          <w:sz w:val="24"/>
          <w:szCs w:val="24"/>
        </w:rPr>
      </w:pPr>
      <w:r>
        <w:rPr>
          <w:sz w:val="24"/>
          <w:szCs w:val="24"/>
        </w:rPr>
        <w:t xml:space="preserve">Resist: 54.73-56.97   </w:t>
      </w:r>
    </w:p>
    <w:p>
      <w:pPr>
        <w:pStyle w:val="Normal"/>
        <w:rPr>
          <w:sz w:val="24"/>
          <w:szCs w:val="24"/>
        </w:rPr>
      </w:pPr>
      <w:r>
        <w:rPr>
          <w:sz w:val="24"/>
          <w:szCs w:val="24"/>
        </w:rPr>
        <w:t xml:space="preserve">Support: 52.52-52.22   </w:t>
      </w:r>
    </w:p>
    <w:p>
      <w:pPr>
        <w:pStyle w:val="Normal"/>
        <w:rPr>
          <w:sz w:val="24"/>
          <w:szCs w:val="24"/>
        </w:rPr>
      </w:pPr>
      <w:r>
        <w:rPr>
          <w:sz w:val="24"/>
          <w:szCs w:val="24"/>
        </w:rPr>
        <w:t xml:space="preserve">Trend reversal point: 43.80 </w:t>
      </w:r>
    </w:p>
    <w:p>
      <w:pPr>
        <w:pStyle w:val="Normal"/>
        <w:rPr>
          <w:color w:val="000000"/>
          <w:sz w:val="24"/>
          <w:szCs w:val="24"/>
        </w:rPr>
      </w:pPr>
      <w:r>
        <w:rPr>
          <w:sz w:val="24"/>
          <w:szCs w:val="24"/>
        </w:rPr>
        <w:t>Yesterday's rally has changed the minor trend for Dec Natrl Gas to up with very recent action looking strong.  The upside target zone for this pattern is from 59.70 to 61.00, with a penetration of 43.80 needed to negate the formation.  Look for support today from 52.52 to 52.22 and resist between 54.73 and 56.97.  Historical analysis of this near term pattern shows a slightly negative bias for today, with the odds of closing below yesterday's close in the next two sessions at 68 percent.</w:t>
      </w:r>
    </w:p>
    <w:p>
      <w:pPr>
        <w:sectPr>
          <w:type w:val="continuous"/>
          <w:pgSz w:w="12240" w:h="15840"/>
          <w:pgMar w:left="720" w:right="720" w:gutter="0" w:header="0" w:top="720" w:footer="965" w:bottom="1021"/>
          <w:cols w:num="2" w:space="432" w:equalWidth="true" w:sep="false"/>
          <w:formProt w:val="false"/>
          <w:textDirection w:val="lrTb"/>
        </w:sectPr>
      </w:pPr>
    </w:p>
    <w:p>
      <w:pPr>
        <w:pStyle w:val="Normal"/>
        <w:jc w:val="both"/>
        <w:rPr>
          <w:color w:val="000000"/>
          <w:sz w:val="24"/>
          <w:szCs w:val="24"/>
        </w:rPr>
      </w:pPr>
      <w:r>
        <w:rPr>
          <w:color w:val="000000"/>
          <w:sz w:val="24"/>
          <w:szCs w:val="24"/>
        </w:rPr>
      </w:r>
    </w:p>
    <w:p>
      <w:pPr>
        <w:pStyle w:val="Normal"/>
        <w:jc w:val="both"/>
        <w:rPr>
          <w:color w:val="000000"/>
          <w:sz w:val="24"/>
          <w:szCs w:val="24"/>
        </w:rPr>
      </w:pPr>
      <w:r>
        <w:rPr>
          <w:color w:val="000000"/>
          <w:sz w:val="24"/>
          <w:szCs w:val="24"/>
        </w:rPr>
      </w:r>
    </w:p>
    <w:p>
      <w:pPr>
        <w:sectPr>
          <w:type w:val="continuous"/>
          <w:pgSz w:w="12240" w:h="15840"/>
          <w:pgMar w:left="720" w:right="720" w:gutter="0" w:header="0" w:top="720" w:footer="965" w:bottom="1021"/>
          <w:cols w:num="2" w:space="432" w:equalWidth="true" w:sep="false"/>
          <w:formProt w:val="false"/>
          <w:textDirection w:val="lrTb"/>
        </w:sectPr>
      </w:pPr>
    </w:p>
    <w:p>
      <w:pPr>
        <w:pStyle w:val="Normal"/>
        <w:numPr>
          <w:ilvl w:val="0"/>
          <w:numId w:val="0"/>
        </w:numPr>
        <w:pBdr>
          <w:top w:val="single" w:sz="18" w:space="1" w:color="0000FF"/>
          <w:left w:val="single" w:sz="18" w:space="1" w:color="0000FF"/>
          <w:bottom w:val="single" w:sz="18" w:space="1" w:color="0000FF"/>
          <w:right w:val="single" w:sz="18" w:space="1" w:color="0000FF"/>
        </w:pBdr>
        <w:jc w:val="center"/>
        <w:rPr>
          <w:b/>
          <w:bCs/>
          <w:color w:val="0000FF"/>
          <w:sz w:val="24"/>
          <w:szCs w:val="24"/>
        </w:rPr>
      </w:pPr>
      <w:r>
        <w:rPr>
          <w:b/>
          <w:bCs/>
          <w:color w:val="0000FF"/>
          <w:sz w:val="24"/>
          <w:szCs w:val="24"/>
        </w:rPr>
      </w:r>
      <w:r>
        <w:br w:type="page"/>
      </w:r>
    </w:p>
    <w:p>
      <w:pPr>
        <w:pStyle w:val="Normal"/>
        <w:pBdr>
          <w:top w:val="single" w:sz="18" w:space="1" w:color="0000FF"/>
          <w:left w:val="single" w:sz="18" w:space="1" w:color="0000FF"/>
          <w:bottom w:val="single" w:sz="18" w:space="1" w:color="0000FF"/>
          <w:right w:val="single" w:sz="18" w:space="1" w:color="0000FF"/>
        </w:pBdr>
        <w:jc w:val="center"/>
        <w:rPr>
          <w:b/>
          <w:bCs/>
          <w:color w:val="0000FF"/>
          <w:sz w:val="24"/>
          <w:szCs w:val="24"/>
        </w:rPr>
      </w:pPr>
      <w:r>
        <w:rPr>
          <w:b/>
          <w:bCs/>
          <w:color w:val="0000FF"/>
          <w:sz w:val="24"/>
          <w:szCs w:val="24"/>
        </w:rPr>
        <w:t>Market Commentary</w:t>
      </w:r>
    </w:p>
    <w:p>
      <w:pPr>
        <w:pStyle w:val="Normal"/>
        <w:jc w:val="center"/>
        <w:rPr>
          <w:b/>
          <w:bCs/>
          <w:color w:val="FF0000"/>
          <w:sz w:val="24"/>
          <w:szCs w:val="24"/>
        </w:rPr>
      </w:pPr>
      <w:r>
        <w:rPr>
          <w:b/>
          <w:bCs/>
          <w:color w:val="FF0000"/>
          <w:sz w:val="24"/>
          <w:szCs w:val="24"/>
        </w:rPr>
      </w:r>
    </w:p>
    <w:p>
      <w:pPr>
        <w:pStyle w:val="Normal"/>
        <w:jc w:val="center"/>
        <w:rPr>
          <w:b/>
          <w:bCs/>
          <w:color w:val="000000"/>
          <w:sz w:val="24"/>
          <w:szCs w:val="24"/>
          <w:u w:val="single"/>
        </w:rPr>
      </w:pPr>
      <w:bookmarkStart w:id="5" w:name="MarCommt"/>
      <w:bookmarkEnd w:id="5"/>
      <w:r>
        <w:rPr>
          <w:b/>
          <w:bCs/>
          <w:color w:val="000000"/>
          <w:sz w:val="24"/>
          <w:szCs w:val="24"/>
          <w:u w:val="single"/>
        </w:rPr>
        <w:t>INFORMATION OVERLOAD: BUT THE MOST</w:t>
      </w:r>
    </w:p>
    <w:p>
      <w:pPr>
        <w:pStyle w:val="Normal"/>
        <w:jc w:val="center"/>
        <w:rPr>
          <w:b/>
          <w:bCs/>
          <w:color w:val="000000"/>
          <w:sz w:val="24"/>
          <w:szCs w:val="24"/>
          <w:u w:val="single"/>
        </w:rPr>
      </w:pPr>
      <w:r>
        <w:rPr>
          <w:b/>
          <w:bCs/>
          <w:color w:val="000000"/>
          <w:sz w:val="24"/>
          <w:szCs w:val="24"/>
          <w:u w:val="single"/>
        </w:rPr>
        <w:t>IMPORTANT NEWS THIS WEEK WAS A RECORD</w:t>
      </w:r>
    </w:p>
    <w:p>
      <w:pPr>
        <w:pStyle w:val="Normal"/>
        <w:jc w:val="center"/>
        <w:rPr>
          <w:b/>
          <w:bCs/>
          <w:color w:val="000000"/>
          <w:sz w:val="24"/>
          <w:szCs w:val="24"/>
          <w:u w:val="single"/>
        </w:rPr>
      </w:pPr>
      <w:bookmarkStart w:id="6" w:name="MarCommt"/>
      <w:bookmarkEnd w:id="6"/>
      <w:r>
        <w:rPr>
          <w:b/>
          <w:bCs/>
          <w:color w:val="000000"/>
          <w:sz w:val="24"/>
          <w:szCs w:val="24"/>
          <w:u w:val="single"/>
        </w:rPr>
        <w:t>PRODUCTION OF HEATING OIL</w:t>
      </w:r>
    </w:p>
    <w:p>
      <w:pPr>
        <w:sectPr>
          <w:type w:val="continuous"/>
          <w:pgSz w:w="12240" w:h="15840"/>
          <w:pgMar w:left="720" w:right="720" w:gutter="0" w:header="0" w:top="720" w:footer="965" w:bottom="1021"/>
          <w:formProt w:val="false"/>
          <w:textDirection w:val="lrTb"/>
        </w:sectPr>
      </w:pPr>
    </w:p>
    <w:p>
      <w:pPr>
        <w:pStyle w:val="Normal"/>
        <w:jc w:val="both"/>
        <w:rPr>
          <w:color w:val="000000"/>
          <w:sz w:val="24"/>
          <w:szCs w:val="24"/>
        </w:rPr>
      </w:pPr>
      <w:bookmarkStart w:id="7" w:name="MarCommb"/>
      <w:bookmarkEnd w:id="7"/>
      <w:r>
        <w:rPr>
          <w:b/>
          <w:bCs/>
          <w:color w:val="000000"/>
          <w:sz w:val="24"/>
          <w:szCs w:val="24"/>
        </w:rPr>
        <w:t xml:space="preserve">Is this an overload of information or not? </w:t>
      </w:r>
      <w:r>
        <w:rPr>
          <w:color w:val="000000"/>
          <w:sz w:val="24"/>
          <w:szCs w:val="24"/>
        </w:rPr>
        <w:t xml:space="preserve"> The market was correcting on Wednesday from Tuesday’s rally on relatively unimportant news from Iraq. The DOE data released on Wednesday indicated more bullish stock draws than did API, with crude oil stocks down by 1.6 million barrels due to withdrawals of 1.9 million barrels from the SPR; and gasoline stocks down by 2.0 million barrels. RFG stocks, however, increased a bit to hurt the NYMEX contract in Wednesday trading. Total petroleum stocks declined by 4.6 million barrels, 41% of this decline in the SPR. While oil demand has appeared to be weakening in Europe and Asia, mainly on moderate weather patterns, demand remains relatively strong in the U.S. market, with the most astounding growth in fuel oil demand utilities as the result of high natural gas prices. At New York natural gas prices on Transco have softened a bit, but still remain above low sulfur fuel oil prices on an equivalent $ per million Btu equivalent. Fuel oil imports to the East Coast last week soared to 562,000 b/d, which is a one-week record since the peak in the winter of 1994. The transfer of fuel oil to end user inventories implied a four week fuel oil demand 33.2% higher than one year ago. Total U.S. product demand was up by a strong 2.8% from one year ago, with good growth also in gasoline and distillate demand. </w:t>
      </w:r>
      <w:r>
        <w:rPr>
          <w:b/>
          <w:bCs/>
          <w:i/>
          <w:iCs/>
          <w:color w:val="000000"/>
          <w:sz w:val="24"/>
          <w:szCs w:val="24"/>
        </w:rPr>
        <w:t xml:space="preserve">The heating oil inventory gap from one year ago is shrinking, but the gasoline inventory gap is widening. </w:t>
      </w:r>
    </w:p>
    <w:p>
      <w:pPr>
        <w:sectPr>
          <w:type w:val="continuous"/>
          <w:pgSz w:w="12240" w:h="15840"/>
          <w:pgMar w:left="720" w:right="720" w:gutter="0" w:header="0" w:top="720" w:footer="965" w:bottom="1021"/>
          <w:cols w:num="2" w:space="288" w:equalWidth="true" w:sep="false"/>
          <w:formProt w:val="false"/>
          <w:textDirection w:val="lrTb"/>
        </w:sectPr>
      </w:pPr>
    </w:p>
    <w:p>
      <w:pPr>
        <w:pStyle w:val="Normal"/>
        <w:jc w:val="both"/>
        <w:rPr>
          <w:color w:val="000000"/>
          <w:sz w:val="24"/>
          <w:szCs w:val="24"/>
        </w:rPr>
      </w:pPr>
      <w:r>
        <w:rPr>
          <w:color w:val="000000"/>
          <w:sz w:val="24"/>
          <w:szCs w:val="24"/>
        </w:rPr>
      </w:r>
    </w:p>
    <w:tbl>
      <w:tblPr>
        <w:tblW w:w="11016" w:type="dxa"/>
        <w:jc w:val="start"/>
        <w:tblInd w:w="0" w:type="dxa"/>
        <w:tblLayout w:type="fixed"/>
        <w:tblCellMar>
          <w:top w:w="0" w:type="dxa"/>
          <w:start w:w="108" w:type="dxa"/>
          <w:bottom w:w="0" w:type="dxa"/>
          <w:end w:w="108" w:type="dxa"/>
        </w:tblCellMar>
      </w:tblPr>
      <w:tblGrid>
        <w:gridCol w:w="3672"/>
        <w:gridCol w:w="3672"/>
        <w:gridCol w:w="3672"/>
      </w:tblGrid>
      <w:tr>
        <w:trPr/>
        <w:tc>
          <w:tcPr>
            <w:tcW w:w="3672" w:type="dxa"/>
            <w:tcBorders/>
          </w:tcPr>
          <w:p>
            <w:pPr>
              <w:pStyle w:val="Heading1"/>
              <w:ind w:hanging="0" w:start="0"/>
              <w:rPr/>
            </w:pPr>
            <w:r>
              <w:rPr/>
              <w:t>DOE Product Demand Data</w:t>
            </w:r>
          </w:p>
        </w:tc>
        <w:tc>
          <w:tcPr>
            <w:tcW w:w="3672" w:type="dxa"/>
            <w:tcBorders/>
          </w:tcPr>
          <w:p>
            <w:pPr>
              <w:pStyle w:val="Normal"/>
              <w:jc w:val="both"/>
              <w:rPr>
                <w:b/>
                <w:bCs/>
                <w:color w:val="000000"/>
                <w:sz w:val="22"/>
                <w:szCs w:val="22"/>
              </w:rPr>
            </w:pPr>
            <w:r>
              <w:rPr>
                <w:b/>
                <w:bCs/>
                <w:color w:val="000000"/>
                <w:sz w:val="22"/>
                <w:szCs w:val="22"/>
              </w:rPr>
              <w:t>Current Period</w:t>
            </w:r>
          </w:p>
        </w:tc>
        <w:tc>
          <w:tcPr>
            <w:tcW w:w="3672" w:type="dxa"/>
            <w:tcBorders/>
          </w:tcPr>
          <w:p>
            <w:pPr>
              <w:pStyle w:val="Normal"/>
              <w:jc w:val="both"/>
              <w:rPr>
                <w:b/>
                <w:bCs/>
                <w:color w:val="000000"/>
                <w:sz w:val="22"/>
                <w:szCs w:val="22"/>
              </w:rPr>
            </w:pPr>
            <w:r>
              <w:rPr>
                <w:b/>
                <w:bCs/>
                <w:color w:val="000000"/>
                <w:sz w:val="22"/>
                <w:szCs w:val="22"/>
              </w:rPr>
              <w:t>Same Period</w:t>
            </w:r>
          </w:p>
        </w:tc>
      </w:tr>
      <w:tr>
        <w:trPr/>
        <w:tc>
          <w:tcPr>
            <w:tcW w:w="3672" w:type="dxa"/>
            <w:tcBorders/>
          </w:tcPr>
          <w:p>
            <w:pPr>
              <w:pStyle w:val="Normal"/>
              <w:snapToGrid w:val="false"/>
              <w:jc w:val="both"/>
              <w:rPr>
                <w:b/>
                <w:bCs/>
                <w:color w:val="000000"/>
                <w:sz w:val="22"/>
                <w:szCs w:val="22"/>
              </w:rPr>
            </w:pPr>
            <w:r>
              <w:rPr>
                <w:b/>
                <w:bCs/>
                <w:color w:val="000000"/>
                <w:sz w:val="22"/>
                <w:szCs w:val="22"/>
              </w:rPr>
            </w:r>
          </w:p>
        </w:tc>
        <w:tc>
          <w:tcPr>
            <w:tcW w:w="3672" w:type="dxa"/>
            <w:tcBorders/>
          </w:tcPr>
          <w:p>
            <w:pPr>
              <w:pStyle w:val="Normal"/>
              <w:jc w:val="both"/>
              <w:rPr>
                <w:b/>
                <w:bCs/>
                <w:color w:val="000000"/>
                <w:sz w:val="22"/>
                <w:szCs w:val="22"/>
              </w:rPr>
            </w:pPr>
            <w:r>
              <w:rPr>
                <w:b/>
                <w:bCs/>
                <w:color w:val="000000"/>
                <w:sz w:val="22"/>
                <w:szCs w:val="22"/>
              </w:rPr>
              <w:t>Ending Nov. 3, 2000</w:t>
            </w:r>
          </w:p>
        </w:tc>
        <w:tc>
          <w:tcPr>
            <w:tcW w:w="3672" w:type="dxa"/>
            <w:tcBorders/>
          </w:tcPr>
          <w:p>
            <w:pPr>
              <w:pStyle w:val="Normal"/>
              <w:jc w:val="both"/>
              <w:rPr>
                <w:b/>
                <w:bCs/>
                <w:color w:val="000000"/>
                <w:sz w:val="22"/>
                <w:szCs w:val="22"/>
              </w:rPr>
            </w:pPr>
            <w:r>
              <w:rPr>
                <w:b/>
                <w:bCs/>
                <w:color w:val="000000"/>
                <w:sz w:val="22"/>
                <w:szCs w:val="22"/>
              </w:rPr>
              <w:t>One year ago</w:t>
            </w:r>
          </w:p>
        </w:tc>
      </w:tr>
      <w:tr>
        <w:trPr/>
        <w:tc>
          <w:tcPr>
            <w:tcW w:w="3672" w:type="dxa"/>
            <w:tcBorders/>
          </w:tcPr>
          <w:p>
            <w:pPr>
              <w:pStyle w:val="Normal"/>
              <w:jc w:val="both"/>
              <w:rPr>
                <w:b/>
                <w:bCs/>
                <w:color w:val="000000"/>
                <w:sz w:val="22"/>
                <w:szCs w:val="22"/>
              </w:rPr>
            </w:pPr>
            <w:r>
              <w:rPr>
                <w:b/>
                <w:bCs/>
                <w:color w:val="000000"/>
                <w:sz w:val="22"/>
                <w:szCs w:val="22"/>
              </w:rPr>
              <w:t>4-Week Rolling Average: MB/D</w:t>
            </w:r>
          </w:p>
        </w:tc>
        <w:tc>
          <w:tcPr>
            <w:tcW w:w="3672" w:type="dxa"/>
            <w:tcBorders/>
          </w:tcPr>
          <w:p>
            <w:pPr>
              <w:pStyle w:val="Normal"/>
              <w:snapToGrid w:val="false"/>
              <w:jc w:val="both"/>
              <w:rPr>
                <w:b/>
                <w:bCs/>
                <w:color w:val="000000"/>
                <w:sz w:val="22"/>
                <w:szCs w:val="22"/>
              </w:rPr>
            </w:pPr>
            <w:r>
              <w:rPr>
                <w:b/>
                <w:bCs/>
                <w:color w:val="000000"/>
                <w:sz w:val="22"/>
                <w:szCs w:val="22"/>
              </w:rPr>
            </w:r>
          </w:p>
        </w:tc>
        <w:tc>
          <w:tcPr>
            <w:tcW w:w="3672" w:type="dxa"/>
            <w:tcBorders/>
          </w:tcPr>
          <w:p>
            <w:pPr>
              <w:pStyle w:val="Normal"/>
              <w:snapToGrid w:val="false"/>
              <w:jc w:val="both"/>
              <w:rPr>
                <w:b/>
                <w:bCs/>
                <w:color w:val="000000"/>
                <w:sz w:val="22"/>
                <w:szCs w:val="22"/>
              </w:rPr>
            </w:pPr>
            <w:r>
              <w:rPr>
                <w:b/>
                <w:bCs/>
                <w:color w:val="000000"/>
                <w:sz w:val="22"/>
                <w:szCs w:val="22"/>
              </w:rPr>
            </w:r>
          </w:p>
        </w:tc>
      </w:tr>
      <w:tr>
        <w:trPr/>
        <w:tc>
          <w:tcPr>
            <w:tcW w:w="3672" w:type="dxa"/>
            <w:tcBorders/>
          </w:tcPr>
          <w:p>
            <w:pPr>
              <w:pStyle w:val="Normal"/>
              <w:jc w:val="both"/>
              <w:rPr>
                <w:b/>
                <w:bCs/>
                <w:color w:val="000000"/>
                <w:sz w:val="22"/>
                <w:szCs w:val="22"/>
              </w:rPr>
            </w:pPr>
            <w:r>
              <w:rPr>
                <w:b/>
                <w:bCs/>
                <w:color w:val="000000"/>
                <w:sz w:val="22"/>
                <w:szCs w:val="22"/>
              </w:rPr>
              <w:t>Basis: DOE data</w:t>
            </w:r>
          </w:p>
        </w:tc>
        <w:tc>
          <w:tcPr>
            <w:tcW w:w="3672" w:type="dxa"/>
            <w:tcBorders/>
          </w:tcPr>
          <w:p>
            <w:pPr>
              <w:pStyle w:val="Normal"/>
              <w:snapToGrid w:val="false"/>
              <w:jc w:val="both"/>
              <w:rPr>
                <w:b/>
                <w:bCs/>
                <w:color w:val="000000"/>
                <w:sz w:val="22"/>
                <w:szCs w:val="22"/>
              </w:rPr>
            </w:pPr>
            <w:r>
              <w:rPr>
                <w:b/>
                <w:bCs/>
                <w:color w:val="000000"/>
                <w:sz w:val="22"/>
                <w:szCs w:val="22"/>
              </w:rPr>
            </w:r>
          </w:p>
        </w:tc>
        <w:tc>
          <w:tcPr>
            <w:tcW w:w="3672" w:type="dxa"/>
            <w:tcBorders/>
          </w:tcPr>
          <w:p>
            <w:pPr>
              <w:pStyle w:val="Normal"/>
              <w:snapToGrid w:val="false"/>
              <w:jc w:val="both"/>
              <w:rPr>
                <w:b/>
                <w:bCs/>
                <w:color w:val="000000"/>
                <w:sz w:val="22"/>
                <w:szCs w:val="22"/>
              </w:rPr>
            </w:pPr>
            <w:r>
              <w:rPr>
                <w:b/>
                <w:bCs/>
                <w:color w:val="000000"/>
                <w:sz w:val="22"/>
                <w:szCs w:val="22"/>
              </w:rPr>
            </w:r>
          </w:p>
        </w:tc>
      </w:tr>
      <w:tr>
        <w:trPr/>
        <w:tc>
          <w:tcPr>
            <w:tcW w:w="3672" w:type="dxa"/>
            <w:tcBorders/>
          </w:tcPr>
          <w:p>
            <w:pPr>
              <w:pStyle w:val="Normal"/>
              <w:jc w:val="both"/>
              <w:rPr>
                <w:color w:val="000000"/>
                <w:sz w:val="22"/>
                <w:szCs w:val="22"/>
              </w:rPr>
            </w:pPr>
            <w:r>
              <w:rPr>
                <w:color w:val="000000"/>
                <w:sz w:val="22"/>
                <w:szCs w:val="22"/>
              </w:rPr>
              <w:t xml:space="preserve">Gasoline </w:t>
            </w:r>
          </w:p>
        </w:tc>
        <w:tc>
          <w:tcPr>
            <w:tcW w:w="3672" w:type="dxa"/>
            <w:tcBorders/>
          </w:tcPr>
          <w:p>
            <w:pPr>
              <w:pStyle w:val="Normal"/>
              <w:jc w:val="both"/>
              <w:rPr>
                <w:color w:val="000000"/>
                <w:sz w:val="22"/>
                <w:szCs w:val="22"/>
              </w:rPr>
            </w:pPr>
            <w:r>
              <w:rPr>
                <w:color w:val="000000"/>
                <w:sz w:val="22"/>
                <w:szCs w:val="22"/>
              </w:rPr>
              <w:t>8,747  (+2.7%)</w:t>
            </w:r>
          </w:p>
        </w:tc>
        <w:tc>
          <w:tcPr>
            <w:tcW w:w="3672" w:type="dxa"/>
            <w:tcBorders/>
          </w:tcPr>
          <w:p>
            <w:pPr>
              <w:pStyle w:val="Normal"/>
              <w:jc w:val="both"/>
              <w:rPr>
                <w:color w:val="000000"/>
                <w:sz w:val="22"/>
                <w:szCs w:val="22"/>
              </w:rPr>
            </w:pPr>
            <w:r>
              <w:rPr>
                <w:color w:val="000000"/>
                <w:sz w:val="22"/>
                <w:szCs w:val="22"/>
              </w:rPr>
              <w:t>8,521</w:t>
            </w:r>
          </w:p>
        </w:tc>
      </w:tr>
      <w:tr>
        <w:trPr/>
        <w:tc>
          <w:tcPr>
            <w:tcW w:w="3672" w:type="dxa"/>
            <w:tcBorders/>
          </w:tcPr>
          <w:p>
            <w:pPr>
              <w:pStyle w:val="Normal"/>
              <w:jc w:val="both"/>
              <w:rPr>
                <w:color w:val="000000"/>
                <w:sz w:val="22"/>
                <w:szCs w:val="22"/>
              </w:rPr>
            </w:pPr>
            <w:r>
              <w:rPr>
                <w:color w:val="000000"/>
                <w:sz w:val="22"/>
                <w:szCs w:val="22"/>
              </w:rPr>
              <w:t>Distillate</w:t>
            </w:r>
          </w:p>
        </w:tc>
        <w:tc>
          <w:tcPr>
            <w:tcW w:w="3672" w:type="dxa"/>
            <w:tcBorders/>
          </w:tcPr>
          <w:p>
            <w:pPr>
              <w:pStyle w:val="Normal"/>
              <w:jc w:val="both"/>
              <w:rPr>
                <w:color w:val="000000"/>
                <w:sz w:val="22"/>
                <w:szCs w:val="22"/>
              </w:rPr>
            </w:pPr>
            <w:r>
              <w:rPr>
                <w:color w:val="000000"/>
                <w:sz w:val="22"/>
                <w:szCs w:val="22"/>
              </w:rPr>
              <w:t>3,901  (+4.3%)</w:t>
            </w:r>
          </w:p>
        </w:tc>
        <w:tc>
          <w:tcPr>
            <w:tcW w:w="3672" w:type="dxa"/>
            <w:tcBorders/>
          </w:tcPr>
          <w:p>
            <w:pPr>
              <w:pStyle w:val="Normal"/>
              <w:jc w:val="both"/>
              <w:rPr>
                <w:color w:val="000000"/>
                <w:sz w:val="22"/>
                <w:szCs w:val="22"/>
              </w:rPr>
            </w:pPr>
            <w:r>
              <w:rPr>
                <w:color w:val="000000"/>
                <w:sz w:val="22"/>
                <w:szCs w:val="22"/>
              </w:rPr>
              <w:t>3,739</w:t>
            </w:r>
          </w:p>
        </w:tc>
      </w:tr>
      <w:tr>
        <w:trPr/>
        <w:tc>
          <w:tcPr>
            <w:tcW w:w="3672" w:type="dxa"/>
            <w:tcBorders/>
          </w:tcPr>
          <w:p>
            <w:pPr>
              <w:pStyle w:val="Normal"/>
              <w:jc w:val="both"/>
              <w:rPr>
                <w:color w:val="000000"/>
                <w:sz w:val="22"/>
                <w:szCs w:val="22"/>
              </w:rPr>
            </w:pPr>
            <w:r>
              <w:rPr>
                <w:color w:val="000000"/>
                <w:sz w:val="22"/>
                <w:szCs w:val="22"/>
              </w:rPr>
              <w:t>Kero Jet fuel</w:t>
            </w:r>
          </w:p>
        </w:tc>
        <w:tc>
          <w:tcPr>
            <w:tcW w:w="3672" w:type="dxa"/>
            <w:tcBorders/>
          </w:tcPr>
          <w:p>
            <w:pPr>
              <w:pStyle w:val="Normal"/>
              <w:jc w:val="both"/>
              <w:rPr>
                <w:color w:val="000000"/>
                <w:sz w:val="22"/>
                <w:szCs w:val="22"/>
              </w:rPr>
            </w:pPr>
            <w:r>
              <w:rPr>
                <w:color w:val="000000"/>
                <w:sz w:val="22"/>
                <w:szCs w:val="22"/>
              </w:rPr>
              <w:t>1,750  (+1.8%)</w:t>
            </w:r>
          </w:p>
        </w:tc>
        <w:tc>
          <w:tcPr>
            <w:tcW w:w="3672" w:type="dxa"/>
            <w:tcBorders/>
          </w:tcPr>
          <w:p>
            <w:pPr>
              <w:pStyle w:val="Normal"/>
              <w:jc w:val="both"/>
              <w:rPr>
                <w:color w:val="000000"/>
                <w:sz w:val="22"/>
                <w:szCs w:val="22"/>
              </w:rPr>
            </w:pPr>
            <w:r>
              <w:rPr>
                <w:color w:val="000000"/>
                <w:sz w:val="22"/>
                <w:szCs w:val="22"/>
              </w:rPr>
              <w:t>1,719</w:t>
            </w:r>
          </w:p>
        </w:tc>
      </w:tr>
      <w:tr>
        <w:trPr/>
        <w:tc>
          <w:tcPr>
            <w:tcW w:w="3672" w:type="dxa"/>
            <w:tcBorders/>
          </w:tcPr>
          <w:p>
            <w:pPr>
              <w:pStyle w:val="Normal"/>
              <w:jc w:val="both"/>
              <w:rPr>
                <w:color w:val="000000"/>
                <w:sz w:val="22"/>
                <w:szCs w:val="22"/>
              </w:rPr>
            </w:pPr>
            <w:r>
              <w:rPr>
                <w:color w:val="000000"/>
                <w:sz w:val="22"/>
                <w:szCs w:val="22"/>
              </w:rPr>
              <w:t>Resid Fuel oil</w:t>
            </w:r>
          </w:p>
        </w:tc>
        <w:tc>
          <w:tcPr>
            <w:tcW w:w="3672" w:type="dxa"/>
            <w:tcBorders/>
          </w:tcPr>
          <w:p>
            <w:pPr>
              <w:pStyle w:val="Normal"/>
              <w:jc w:val="both"/>
              <w:rPr>
                <w:color w:val="000000"/>
                <w:sz w:val="22"/>
                <w:szCs w:val="22"/>
              </w:rPr>
            </w:pPr>
            <w:r>
              <w:rPr>
                <w:color w:val="000000"/>
                <w:sz w:val="22"/>
                <w:szCs w:val="22"/>
              </w:rPr>
              <w:t xml:space="preserve">   </w:t>
            </w:r>
            <w:r>
              <w:rPr>
                <w:color w:val="000000"/>
                <w:sz w:val="22"/>
                <w:szCs w:val="22"/>
              </w:rPr>
              <w:t>962  (+33.2%)</w:t>
            </w:r>
          </w:p>
        </w:tc>
        <w:tc>
          <w:tcPr>
            <w:tcW w:w="3672" w:type="dxa"/>
            <w:tcBorders/>
          </w:tcPr>
          <w:p>
            <w:pPr>
              <w:pStyle w:val="Normal"/>
              <w:jc w:val="both"/>
              <w:rPr>
                <w:color w:val="000000"/>
                <w:sz w:val="22"/>
                <w:szCs w:val="22"/>
              </w:rPr>
            </w:pPr>
            <w:r>
              <w:rPr>
                <w:color w:val="000000"/>
                <w:sz w:val="22"/>
                <w:szCs w:val="22"/>
              </w:rPr>
              <w:t xml:space="preserve">   </w:t>
            </w:r>
            <w:r>
              <w:rPr>
                <w:color w:val="000000"/>
                <w:sz w:val="22"/>
                <w:szCs w:val="22"/>
              </w:rPr>
              <w:t>722</w:t>
            </w:r>
          </w:p>
        </w:tc>
      </w:tr>
      <w:tr>
        <w:trPr/>
        <w:tc>
          <w:tcPr>
            <w:tcW w:w="3672" w:type="dxa"/>
            <w:tcBorders/>
          </w:tcPr>
          <w:p>
            <w:pPr>
              <w:pStyle w:val="Normal"/>
              <w:jc w:val="both"/>
              <w:rPr>
                <w:color w:val="000000"/>
                <w:sz w:val="22"/>
                <w:szCs w:val="22"/>
              </w:rPr>
            </w:pPr>
            <w:r>
              <w:rPr>
                <w:color w:val="000000"/>
                <w:sz w:val="22"/>
                <w:szCs w:val="22"/>
              </w:rPr>
              <w:t>Total U.S. Product demand</w:t>
            </w:r>
          </w:p>
        </w:tc>
        <w:tc>
          <w:tcPr>
            <w:tcW w:w="3672" w:type="dxa"/>
            <w:tcBorders/>
          </w:tcPr>
          <w:p>
            <w:pPr>
              <w:pStyle w:val="Normal"/>
              <w:jc w:val="both"/>
              <w:rPr>
                <w:color w:val="000000"/>
                <w:sz w:val="22"/>
                <w:szCs w:val="22"/>
              </w:rPr>
            </w:pPr>
            <w:r>
              <w:rPr>
                <w:color w:val="000000"/>
                <w:sz w:val="22"/>
                <w:szCs w:val="22"/>
              </w:rPr>
              <w:t>20,360  (+2.8%)</w:t>
            </w:r>
          </w:p>
        </w:tc>
        <w:tc>
          <w:tcPr>
            <w:tcW w:w="3672" w:type="dxa"/>
            <w:tcBorders/>
          </w:tcPr>
          <w:p>
            <w:pPr>
              <w:pStyle w:val="Normal"/>
              <w:jc w:val="both"/>
              <w:rPr>
                <w:color w:val="000000"/>
                <w:sz w:val="22"/>
                <w:szCs w:val="22"/>
              </w:rPr>
            </w:pPr>
            <w:r>
              <w:rPr>
                <w:color w:val="000000"/>
                <w:sz w:val="22"/>
                <w:szCs w:val="22"/>
              </w:rPr>
              <w:t>19,812</w:t>
            </w:r>
          </w:p>
        </w:tc>
      </w:tr>
      <w:tr>
        <w:trPr/>
        <w:tc>
          <w:tcPr>
            <w:tcW w:w="3672" w:type="dxa"/>
            <w:tcBorders/>
          </w:tcPr>
          <w:p>
            <w:pPr>
              <w:pStyle w:val="Normal"/>
              <w:jc w:val="both"/>
              <w:rPr>
                <w:color w:val="000000"/>
                <w:sz w:val="22"/>
                <w:szCs w:val="22"/>
              </w:rPr>
            </w:pPr>
            <w:r>
              <w:rPr>
                <w:color w:val="000000"/>
                <w:sz w:val="22"/>
                <w:szCs w:val="22"/>
              </w:rPr>
              <w:t>Inventory in Days of Forward Supply</w:t>
            </w:r>
          </w:p>
        </w:tc>
        <w:tc>
          <w:tcPr>
            <w:tcW w:w="3672" w:type="dxa"/>
            <w:tcBorders/>
          </w:tcPr>
          <w:p>
            <w:pPr>
              <w:pStyle w:val="Normal"/>
              <w:snapToGrid w:val="false"/>
              <w:jc w:val="both"/>
              <w:rPr>
                <w:color w:val="000000"/>
                <w:sz w:val="22"/>
                <w:szCs w:val="22"/>
              </w:rPr>
            </w:pPr>
            <w:r>
              <w:rPr>
                <w:color w:val="000000"/>
                <w:sz w:val="22"/>
                <w:szCs w:val="22"/>
              </w:rPr>
            </w:r>
          </w:p>
        </w:tc>
        <w:tc>
          <w:tcPr>
            <w:tcW w:w="3672" w:type="dxa"/>
            <w:tcBorders/>
          </w:tcPr>
          <w:p>
            <w:pPr>
              <w:pStyle w:val="Normal"/>
              <w:snapToGrid w:val="false"/>
              <w:jc w:val="both"/>
              <w:rPr>
                <w:color w:val="000000"/>
                <w:sz w:val="22"/>
                <w:szCs w:val="22"/>
              </w:rPr>
            </w:pPr>
            <w:r>
              <w:rPr>
                <w:color w:val="000000"/>
                <w:sz w:val="22"/>
                <w:szCs w:val="22"/>
              </w:rPr>
            </w:r>
          </w:p>
        </w:tc>
      </w:tr>
      <w:tr>
        <w:trPr/>
        <w:tc>
          <w:tcPr>
            <w:tcW w:w="3672" w:type="dxa"/>
            <w:tcBorders/>
          </w:tcPr>
          <w:p>
            <w:pPr>
              <w:pStyle w:val="Normal"/>
              <w:jc w:val="both"/>
              <w:rPr>
                <w:color w:val="000000"/>
                <w:sz w:val="22"/>
                <w:szCs w:val="22"/>
              </w:rPr>
            </w:pPr>
            <w:r>
              <w:rPr>
                <w:color w:val="000000"/>
                <w:sz w:val="22"/>
                <w:szCs w:val="22"/>
              </w:rPr>
              <w:t xml:space="preserve">Crude oil inventory </w:t>
            </w:r>
          </w:p>
        </w:tc>
        <w:tc>
          <w:tcPr>
            <w:tcW w:w="3672" w:type="dxa"/>
            <w:tcBorders/>
          </w:tcPr>
          <w:p>
            <w:pPr>
              <w:pStyle w:val="Normal"/>
              <w:jc w:val="both"/>
              <w:rPr>
                <w:color w:val="000000"/>
                <w:sz w:val="22"/>
                <w:szCs w:val="22"/>
              </w:rPr>
            </w:pPr>
            <w:r>
              <w:rPr>
                <w:color w:val="000000"/>
                <w:sz w:val="22"/>
                <w:szCs w:val="22"/>
              </w:rPr>
              <w:t>18.6  (decreasing)</w:t>
            </w:r>
          </w:p>
        </w:tc>
        <w:tc>
          <w:tcPr>
            <w:tcW w:w="3672" w:type="dxa"/>
            <w:tcBorders/>
          </w:tcPr>
          <w:p>
            <w:pPr>
              <w:pStyle w:val="Normal"/>
              <w:jc w:val="both"/>
              <w:rPr>
                <w:color w:val="000000"/>
                <w:sz w:val="22"/>
                <w:szCs w:val="22"/>
              </w:rPr>
            </w:pPr>
            <w:r>
              <w:rPr>
                <w:color w:val="000000"/>
                <w:sz w:val="22"/>
                <w:szCs w:val="22"/>
              </w:rPr>
              <w:t>20.8</w:t>
            </w:r>
          </w:p>
        </w:tc>
      </w:tr>
      <w:tr>
        <w:trPr/>
        <w:tc>
          <w:tcPr>
            <w:tcW w:w="3672" w:type="dxa"/>
            <w:tcBorders/>
          </w:tcPr>
          <w:p>
            <w:pPr>
              <w:pStyle w:val="Normal"/>
              <w:jc w:val="both"/>
              <w:rPr>
                <w:color w:val="000000"/>
                <w:sz w:val="22"/>
                <w:szCs w:val="22"/>
              </w:rPr>
            </w:pPr>
            <w:r>
              <w:rPr>
                <w:color w:val="000000"/>
                <w:sz w:val="22"/>
                <w:szCs w:val="22"/>
              </w:rPr>
              <w:t>Gasoline inventory</w:t>
            </w:r>
          </w:p>
        </w:tc>
        <w:tc>
          <w:tcPr>
            <w:tcW w:w="3672" w:type="dxa"/>
            <w:tcBorders/>
          </w:tcPr>
          <w:p>
            <w:pPr>
              <w:pStyle w:val="Normal"/>
              <w:jc w:val="both"/>
              <w:rPr>
                <w:color w:val="000000"/>
                <w:sz w:val="22"/>
                <w:szCs w:val="22"/>
              </w:rPr>
            </w:pPr>
            <w:r>
              <w:rPr>
                <w:color w:val="000000"/>
                <w:sz w:val="22"/>
                <w:szCs w:val="22"/>
              </w:rPr>
              <w:t>21.3  (decreasing)</w:t>
            </w:r>
          </w:p>
        </w:tc>
        <w:tc>
          <w:tcPr>
            <w:tcW w:w="3672" w:type="dxa"/>
            <w:tcBorders/>
          </w:tcPr>
          <w:p>
            <w:pPr>
              <w:pStyle w:val="Normal"/>
              <w:jc w:val="both"/>
              <w:rPr>
                <w:color w:val="000000"/>
                <w:sz w:val="22"/>
                <w:szCs w:val="22"/>
              </w:rPr>
            </w:pPr>
            <w:r>
              <w:rPr>
                <w:color w:val="000000"/>
                <w:sz w:val="22"/>
                <w:szCs w:val="22"/>
              </w:rPr>
              <w:t>24.0</w:t>
            </w:r>
          </w:p>
        </w:tc>
      </w:tr>
      <w:tr>
        <w:trPr/>
        <w:tc>
          <w:tcPr>
            <w:tcW w:w="3672" w:type="dxa"/>
            <w:tcBorders/>
          </w:tcPr>
          <w:p>
            <w:pPr>
              <w:pStyle w:val="Normal"/>
              <w:jc w:val="both"/>
              <w:rPr>
                <w:color w:val="000000"/>
                <w:sz w:val="22"/>
                <w:szCs w:val="22"/>
              </w:rPr>
            </w:pPr>
            <w:r>
              <w:rPr>
                <w:color w:val="000000"/>
                <w:sz w:val="22"/>
                <w:szCs w:val="22"/>
              </w:rPr>
              <w:t>Distillate inventory</w:t>
            </w:r>
          </w:p>
        </w:tc>
        <w:tc>
          <w:tcPr>
            <w:tcW w:w="3672" w:type="dxa"/>
            <w:tcBorders/>
          </w:tcPr>
          <w:p>
            <w:pPr>
              <w:pStyle w:val="Normal"/>
              <w:jc w:val="both"/>
              <w:rPr>
                <w:color w:val="000000"/>
                <w:sz w:val="22"/>
                <w:szCs w:val="22"/>
              </w:rPr>
            </w:pPr>
            <w:r>
              <w:rPr>
                <w:color w:val="000000"/>
                <w:sz w:val="22"/>
                <w:szCs w:val="22"/>
              </w:rPr>
              <w:t>29.6  (increasing)</w:t>
            </w:r>
          </w:p>
        </w:tc>
        <w:tc>
          <w:tcPr>
            <w:tcW w:w="3672" w:type="dxa"/>
            <w:tcBorders/>
          </w:tcPr>
          <w:p>
            <w:pPr>
              <w:pStyle w:val="Normal"/>
              <w:jc w:val="both"/>
              <w:rPr>
                <w:color w:val="000000"/>
                <w:sz w:val="22"/>
                <w:szCs w:val="22"/>
              </w:rPr>
            </w:pPr>
            <w:r>
              <w:rPr>
                <w:color w:val="000000"/>
                <w:sz w:val="22"/>
                <w:szCs w:val="22"/>
              </w:rPr>
              <w:t>37.1</w:t>
            </w:r>
          </w:p>
        </w:tc>
      </w:tr>
    </w:tbl>
    <w:p>
      <w:pPr>
        <w:pStyle w:val="Normal"/>
        <w:jc w:val="both"/>
        <w:rPr>
          <w:color w:val="000000"/>
          <w:sz w:val="24"/>
          <w:szCs w:val="24"/>
        </w:rPr>
      </w:pPr>
      <w:r>
        <w:rPr>
          <w:color w:val="000000"/>
          <w:sz w:val="24"/>
          <w:szCs w:val="24"/>
        </w:rPr>
      </w:r>
    </w:p>
    <w:p>
      <w:pPr>
        <w:pStyle w:val="Normal"/>
        <w:jc w:val="both"/>
        <w:rPr>
          <w:color w:val="000000"/>
          <w:sz w:val="24"/>
          <w:szCs w:val="24"/>
        </w:rPr>
      </w:pPr>
      <w:r>
        <w:rPr>
          <w:color w:val="000000"/>
          <w:sz w:val="24"/>
          <w:szCs w:val="24"/>
        </w:rPr>
      </w:r>
    </w:p>
    <w:p>
      <w:pPr>
        <w:sectPr>
          <w:type w:val="continuous"/>
          <w:pgSz w:w="12240" w:h="15840"/>
          <w:pgMar w:left="720" w:right="720" w:gutter="0" w:header="0" w:top="720" w:footer="965" w:bottom="1021"/>
          <w:formProt w:val="false"/>
          <w:textDirection w:val="lrTb"/>
        </w:sectPr>
      </w:pPr>
    </w:p>
    <w:p>
      <w:pPr>
        <w:pStyle w:val="Normal"/>
        <w:jc w:val="both"/>
        <w:rPr>
          <w:i/>
          <w:i/>
          <w:iCs/>
          <w:sz w:val="24"/>
          <w:szCs w:val="24"/>
          <w:u w:val="single"/>
        </w:rPr>
      </w:pPr>
      <w:bookmarkStart w:id="8" w:name="MarCommb"/>
      <w:bookmarkEnd w:id="8"/>
      <w:r>
        <w:rPr>
          <w:b/>
          <w:bCs/>
          <w:color w:val="000000"/>
          <w:sz w:val="24"/>
          <w:szCs w:val="24"/>
        </w:rPr>
        <w:t xml:space="preserve">Boiling it all down: record heating oil production has calmed the crisis. </w:t>
      </w:r>
      <w:r>
        <w:rPr>
          <w:color w:val="000000"/>
          <w:sz w:val="24"/>
          <w:szCs w:val="24"/>
        </w:rPr>
        <w:t xml:space="preserve">This is a ton of information to absorb, in addition to the factors of OPEC production promises versus reality; Middle East tensions including just what is Iraq up to, if anything; the erratic weather forecasts; and the system constraints which might rise up and bite the industry when peak winter demand hits. That is why we tried yesterday to separate the short term from the longer term, and call the short term market down – but not by much – on the basis of (1) weakening product margins relative to crude oil, and (2) higher end user inventories of heating oil, which beg the next question: (3) for the balance of the year regardless of the weather, refineries may very well be able to meet current demand from current production. USA distillate production for last week was 3,921 MB/D, a one week record surpassing the previous record of 3,800 MB/D in 1996, and higher than the very strong 4-week rolling average for distillate demand. </w:t>
      </w:r>
      <w:r>
        <w:rPr>
          <w:b/>
          <w:bCs/>
          <w:i/>
          <w:iCs/>
          <w:color w:val="000000"/>
          <w:sz w:val="24"/>
          <w:szCs w:val="24"/>
        </w:rPr>
        <w:t xml:space="preserve">The heating oil ‘crisis’ appears to be over for now. </w:t>
      </w:r>
      <w:r>
        <w:rPr>
          <w:color w:val="000000"/>
          <w:sz w:val="24"/>
          <w:szCs w:val="24"/>
        </w:rPr>
        <w:t>Refiners have done a great job of producing heating oil to calm the crisis atmosphere, partly at the expense of gasoline, of course. The 4</w:t>
      </w:r>
      <w:r>
        <w:rPr>
          <w:color w:val="000000"/>
          <w:sz w:val="24"/>
          <w:szCs w:val="24"/>
          <w:vertAlign w:val="superscript"/>
        </w:rPr>
        <w:t>th</w:t>
      </w:r>
      <w:r>
        <w:rPr>
          <w:color w:val="000000"/>
          <w:sz w:val="24"/>
          <w:szCs w:val="24"/>
        </w:rPr>
        <w:t xml:space="preserve"> quarter may see support for world oil prices from gasoline, if not from heating oil. USA gasoline inventories are the lowest in three years according to DOE.   </w:t>
      </w:r>
    </w:p>
    <w:p>
      <w:pPr>
        <w:sectPr>
          <w:type w:val="continuous"/>
          <w:pgSz w:w="12240" w:h="15840"/>
          <w:pgMar w:left="720" w:right="720" w:gutter="0" w:header="0" w:top="720" w:footer="965" w:bottom="1021"/>
          <w:cols w:num="2" w:space="288" w:equalWidth="true" w:sep="false"/>
          <w:formProt w:val="false"/>
          <w:textDirection w:val="lrTb"/>
        </w:sectPr>
      </w:pPr>
    </w:p>
    <w:p>
      <w:pPr>
        <w:pStyle w:val="Normal"/>
        <w:tabs>
          <w:tab w:val="clear" w:pos="720"/>
          <w:tab w:val="left" w:pos="6034" w:leader="none"/>
        </w:tabs>
        <w:ind w:end="216"/>
        <w:jc w:val="both"/>
        <w:rPr>
          <w:i/>
          <w:i/>
          <w:iCs/>
          <w:color w:val="000000"/>
          <w:sz w:val="24"/>
          <w:szCs w:val="24"/>
          <w:u w:val="single"/>
        </w:rPr>
      </w:pPr>
      <w:r>
        <w:rPr>
          <w:i/>
          <w:iCs/>
          <w:color w:val="000000"/>
          <w:sz w:val="24"/>
          <w:szCs w:val="24"/>
          <w:u w:val="single"/>
        </w:rPr>
      </w:r>
    </w:p>
    <w:p>
      <w:pPr>
        <w:pStyle w:val="Normal"/>
        <w:pBdr>
          <w:top w:val="single" w:sz="18" w:space="1" w:color="0000FF"/>
          <w:left w:val="single" w:sz="18" w:space="1" w:color="0000FF"/>
          <w:bottom w:val="single" w:sz="18" w:space="1" w:color="0000FF"/>
          <w:right w:val="single" w:sz="18" w:space="1" w:color="0000FF"/>
        </w:pBdr>
        <w:jc w:val="center"/>
        <w:rPr>
          <w:b/>
          <w:bCs/>
          <w:color w:val="000000"/>
          <w:sz w:val="24"/>
          <w:szCs w:val="24"/>
          <w:u w:val="single"/>
        </w:rPr>
      </w:pPr>
      <w:r>
        <w:rPr>
          <w:b/>
          <w:bCs/>
          <w:color w:val="0000FF"/>
          <w:sz w:val="24"/>
          <w:szCs w:val="24"/>
        </w:rPr>
        <w:t>Today’s World Market</w:t>
      </w:r>
    </w:p>
    <w:p>
      <w:pPr>
        <w:pStyle w:val="Normal"/>
        <w:jc w:val="center"/>
        <w:rPr>
          <w:b/>
          <w:bCs/>
          <w:color w:val="000000"/>
          <w:sz w:val="24"/>
          <w:szCs w:val="24"/>
          <w:u w:val="single"/>
        </w:rPr>
      </w:pPr>
      <w:r>
        <w:rPr>
          <w:b/>
          <w:bCs/>
          <w:color w:val="000000"/>
          <w:sz w:val="24"/>
          <w:szCs w:val="24"/>
          <w:u w:val="single"/>
        </w:rPr>
      </w:r>
    </w:p>
    <w:p>
      <w:pPr>
        <w:pStyle w:val="Normal"/>
        <w:jc w:val="center"/>
        <w:rPr>
          <w:b/>
          <w:bCs/>
          <w:color w:val="000000"/>
          <w:sz w:val="24"/>
          <w:szCs w:val="24"/>
          <w:u w:val="single"/>
        </w:rPr>
      </w:pPr>
      <w:bookmarkStart w:id="9" w:name="TodayWldMart"/>
      <w:bookmarkEnd w:id="9"/>
      <w:r>
        <w:rPr>
          <w:b/>
          <w:bCs/>
          <w:color w:val="000000"/>
          <w:sz w:val="24"/>
          <w:szCs w:val="24"/>
          <w:u w:val="single"/>
        </w:rPr>
        <w:t>ANOTHER INFORMATION OVERLOAD</w:t>
      </w:r>
    </w:p>
    <w:p>
      <w:pPr>
        <w:pStyle w:val="Normal"/>
        <w:jc w:val="center"/>
        <w:rPr>
          <w:color w:val="000000"/>
          <w:sz w:val="24"/>
          <w:szCs w:val="24"/>
        </w:rPr>
      </w:pPr>
      <w:bookmarkStart w:id="10" w:name="TodayWldMart"/>
      <w:bookmarkEnd w:id="10"/>
      <w:r>
        <w:rPr>
          <w:b/>
          <w:bCs/>
          <w:color w:val="000000"/>
          <w:sz w:val="24"/>
          <w:szCs w:val="24"/>
          <w:u w:val="single"/>
        </w:rPr>
        <w:t>LEAVES MARKET MIXED</w:t>
      </w:r>
    </w:p>
    <w:p>
      <w:pPr>
        <w:sectPr>
          <w:type w:val="continuous"/>
          <w:pgSz w:w="12240" w:h="15840"/>
          <w:pgMar w:left="720" w:right="720" w:gutter="0" w:header="0" w:top="720" w:footer="965" w:bottom="1021"/>
          <w:formProt w:val="false"/>
          <w:textDirection w:val="lrTb"/>
        </w:sectPr>
      </w:pPr>
    </w:p>
    <w:p>
      <w:pPr>
        <w:pStyle w:val="Normal"/>
        <w:jc w:val="both"/>
        <w:rPr/>
      </w:pPr>
      <w:bookmarkStart w:id="11" w:name="TodayWldMarb"/>
      <w:bookmarkEnd w:id="11"/>
      <w:r>
        <w:rPr>
          <w:color w:val="000000"/>
          <w:sz w:val="24"/>
          <w:szCs w:val="24"/>
        </w:rPr>
        <w:t>Today Iraq resumed crude exports from Turkey, but an Iraqi government official called for a holy war on the USA and a mobilization of Arab oil producers against Israel. Do even the French understand this bunch? A big New York consultant we all know and love warned of a rebound in commercial oil inventories to wipe out a year-on-year deficit by the end of the year! The 4</w:t>
      </w:r>
      <w:r>
        <w:rPr>
          <w:color w:val="000000"/>
          <w:sz w:val="24"/>
          <w:szCs w:val="24"/>
          <w:vertAlign w:val="superscript"/>
        </w:rPr>
        <w:t>th</w:t>
      </w:r>
      <w:r>
        <w:rPr>
          <w:color w:val="000000"/>
          <w:sz w:val="24"/>
          <w:szCs w:val="24"/>
        </w:rPr>
        <w:t xml:space="preserve"> quarter inventory build would be in refined products. Does anyone believe that bearish analysis? Futures prices were all over the playing field today as traders tried to digest the information overload and come up with bullish or bearish signals. The bears appeared to win today, except for gasoil which was firmer today in Asia, Europe, and New York, and also for soaring natural gas prices on a less bearish inventory build. </w:t>
      </w:r>
    </w:p>
    <w:p>
      <w:pPr>
        <w:sectPr>
          <w:type w:val="continuous"/>
          <w:pgSz w:w="12240" w:h="15840"/>
          <w:pgMar w:left="720" w:right="720" w:gutter="0" w:header="0" w:top="720" w:footer="965" w:bottom="1021"/>
          <w:cols w:num="2" w:space="288" w:equalWidth="true" w:sep="false"/>
          <w:formProt w:val="false"/>
          <w:textDirection w:val="lrTb"/>
        </w:sectPr>
      </w:pPr>
    </w:p>
    <w:p>
      <w:pPr>
        <w:pStyle w:val="Normal"/>
        <w:jc w:val="both"/>
        <w:rPr>
          <w:i/>
          <w:i/>
          <w:iCs/>
          <w:color w:val="000000"/>
          <w:sz w:val="24"/>
          <w:szCs w:val="24"/>
          <w:u w:val="single"/>
        </w:rPr>
      </w:pPr>
      <w:r>
        <w:rPr>
          <w:i/>
          <w:iCs/>
          <w:color w:val="000000"/>
          <w:sz w:val="24"/>
          <w:szCs w:val="24"/>
          <w:u w:val="single"/>
        </w:rPr>
      </w:r>
      <w:bookmarkStart w:id="12" w:name="TodayWldMarb"/>
      <w:bookmarkStart w:id="13" w:name="TodayWldMarb"/>
      <w:bookmarkEnd w:id="13"/>
    </w:p>
    <w:p>
      <w:pPr>
        <w:sectPr>
          <w:type w:val="continuous"/>
          <w:pgSz w:w="12240" w:h="15840"/>
          <w:pgMar w:left="720" w:right="720" w:gutter="0" w:header="0" w:top="720" w:footer="965" w:bottom="1021"/>
          <w:cols w:num="2" w:space="288" w:equalWidth="true" w:sep="false"/>
          <w:formProt w:val="false"/>
          <w:textDirection w:val="lrTb"/>
        </w:sectPr>
      </w:pPr>
    </w:p>
    <w:p>
      <w:pPr>
        <w:pStyle w:val="Normal"/>
        <w:pBdr>
          <w:top w:val="single" w:sz="18" w:space="1" w:color="0000FF"/>
          <w:left w:val="single" w:sz="18" w:space="1" w:color="0000FF"/>
          <w:bottom w:val="single" w:sz="18" w:space="1" w:color="0000FF"/>
          <w:right w:val="single" w:sz="18" w:space="1" w:color="0000FF"/>
        </w:pBdr>
        <w:jc w:val="center"/>
        <w:rPr>
          <w:b/>
          <w:bCs/>
          <w:color w:val="0000FF"/>
          <w:sz w:val="24"/>
          <w:szCs w:val="24"/>
        </w:rPr>
      </w:pPr>
      <w:r>
        <w:rPr>
          <w:b/>
          <w:bCs/>
          <w:color w:val="0000FF"/>
          <w:sz w:val="24"/>
          <w:szCs w:val="24"/>
        </w:rPr>
        <w:t>Pacific Basin Market</w:t>
      </w:r>
    </w:p>
    <w:p>
      <w:pPr>
        <w:pStyle w:val="Normal"/>
        <w:jc w:val="center"/>
        <w:rPr>
          <w:b/>
          <w:bCs/>
          <w:color w:val="0000FF"/>
          <w:sz w:val="24"/>
          <w:szCs w:val="24"/>
        </w:rPr>
      </w:pPr>
      <w:r>
        <w:rPr>
          <w:b/>
          <w:bCs/>
          <w:color w:val="0000FF"/>
          <w:sz w:val="24"/>
          <w:szCs w:val="24"/>
        </w:rPr>
      </w:r>
    </w:p>
    <w:p>
      <w:pPr>
        <w:pStyle w:val="Normal"/>
        <w:jc w:val="center"/>
        <w:rPr>
          <w:b/>
          <w:bCs/>
          <w:color w:val="000000"/>
          <w:sz w:val="24"/>
          <w:szCs w:val="24"/>
          <w:u w:val="single"/>
        </w:rPr>
      </w:pPr>
      <w:bookmarkStart w:id="14" w:name="PacMart"/>
      <w:bookmarkEnd w:id="14"/>
      <w:r>
        <w:rPr>
          <w:b/>
          <w:bCs/>
          <w:color w:val="000000"/>
          <w:sz w:val="24"/>
          <w:szCs w:val="24"/>
          <w:u w:val="single"/>
        </w:rPr>
        <w:t>CORRECTIVE REBOUND IN WEAK</w:t>
      </w:r>
    </w:p>
    <w:p>
      <w:pPr>
        <w:pStyle w:val="Normal"/>
        <w:jc w:val="center"/>
        <w:rPr>
          <w:b/>
          <w:bCs/>
          <w:color w:val="000000"/>
          <w:sz w:val="24"/>
          <w:szCs w:val="24"/>
          <w:u w:val="single"/>
        </w:rPr>
      </w:pPr>
      <w:bookmarkStart w:id="15" w:name="PacMart"/>
      <w:bookmarkEnd w:id="15"/>
      <w:r>
        <w:rPr>
          <w:b/>
          <w:bCs/>
          <w:color w:val="000000"/>
          <w:sz w:val="24"/>
          <w:szCs w:val="24"/>
          <w:u w:val="single"/>
        </w:rPr>
        <w:t>MIDDLE DISTILLATE MARKETS</w:t>
      </w:r>
    </w:p>
    <w:p>
      <w:pPr>
        <w:sectPr>
          <w:type w:val="continuous"/>
          <w:pgSz w:w="12240" w:h="15840"/>
          <w:pgMar w:left="720" w:right="720" w:gutter="0" w:header="0" w:top="720" w:footer="965" w:bottom="1021"/>
          <w:formProt w:val="false"/>
          <w:textDirection w:val="lrTb"/>
        </w:sectPr>
      </w:pPr>
    </w:p>
    <w:p>
      <w:pPr>
        <w:pStyle w:val="Normal"/>
        <w:jc w:val="both"/>
        <w:rPr/>
      </w:pPr>
      <w:bookmarkStart w:id="16" w:name="PacMarb"/>
      <w:bookmarkEnd w:id="16"/>
      <w:r>
        <w:rPr>
          <w:b/>
          <w:bCs/>
          <w:color w:val="000000"/>
          <w:sz w:val="24"/>
          <w:szCs w:val="24"/>
        </w:rPr>
        <w:t xml:space="preserve">East Asia. </w:t>
      </w:r>
      <w:r>
        <w:rPr>
          <w:color w:val="000000"/>
          <w:sz w:val="24"/>
          <w:szCs w:val="24"/>
        </w:rPr>
        <w:t xml:space="preserve">Middle distillate price assessments rebounded strongly today in East Asia, which was largely interpreted only as a ‘correction’ to the recent collapse in prices. Based on the trade reports potential buyers were still hanging back waiting for prices to come down again. Sietco was offering three gasoil cargoes at about a $1.00 per barrel jump from Tuesday, which seems like wishful thinking in this market environment. Spot differentials to forward paper collapsed by 50 cents to minus $1.05 for gasoil and to minus 90 cents for kerosene. That says a lot about the weakness of middle distillates. We have been looking for a good spread trade in this weak products market, and the collapse of these differentials suggests a risky ‘buy.’ Also the unusually wide December regrade spread has been monitored for a possible ‘sell.’ The regrade differential narrowed a bit today but there was no significance to that move in our opinion, at least not yet. The spot naphtha spread to December paper has found some support at minus 15 cents, and we are putting that spread on our recommended trade list. Naphtha demand in the spot market has been fairly steady, and Japan’s ethylene production jumped by 4.2% in October according to MITI today. </w:t>
      </w:r>
    </w:p>
    <w:p>
      <w:pPr>
        <w:pStyle w:val="Normal"/>
        <w:jc w:val="both"/>
        <w:rPr>
          <w:color w:val="000000"/>
          <w:sz w:val="24"/>
          <w:szCs w:val="24"/>
        </w:rPr>
      </w:pPr>
      <w:r>
        <w:rPr>
          <w:color w:val="000000"/>
          <w:sz w:val="24"/>
          <w:szCs w:val="24"/>
        </w:rPr>
      </w:r>
    </w:p>
    <w:p>
      <w:pPr>
        <w:pStyle w:val="Normal"/>
        <w:jc w:val="both"/>
        <w:rPr>
          <w:color w:val="000000"/>
        </w:rPr>
      </w:pPr>
      <w:r>
        <w:rPr>
          <w:color w:val="000000"/>
        </w:rPr>
        <w:drawing>
          <wp:inline distT="0" distB="0" distL="0" distR="0">
            <wp:extent cx="3133725" cy="246697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4"/>
                    <a:stretch>
                      <a:fillRect/>
                    </a:stretch>
                  </pic:blipFill>
                  <pic:spPr bwMode="auto">
                    <a:xfrm>
                      <a:off x="0" y="0"/>
                      <a:ext cx="3133725" cy="2466975"/>
                    </a:xfrm>
                    <a:prstGeom prst="rect">
                      <a:avLst/>
                    </a:prstGeom>
                    <a:noFill/>
                  </pic:spPr>
                </pic:pic>
              </a:graphicData>
            </a:graphic>
          </wp:inline>
        </w:drawing>
      </w:r>
    </w:p>
    <w:p>
      <w:pPr>
        <w:pStyle w:val="Normal"/>
        <w:jc w:val="both"/>
        <w:rPr>
          <w:color w:val="000000"/>
        </w:rPr>
      </w:pPr>
      <w:r>
        <w:rPr>
          <w:color w:val="000000"/>
        </w:rPr>
      </w:r>
    </w:p>
    <w:p>
      <w:pPr>
        <w:pStyle w:val="Normal"/>
        <w:jc w:val="both"/>
        <w:rPr>
          <w:color w:val="000000"/>
          <w:sz w:val="24"/>
          <w:szCs w:val="24"/>
        </w:rPr>
      </w:pPr>
      <w:r>
        <w:rPr>
          <w:color w:val="000000"/>
        </w:rPr>
        <w:drawing>
          <wp:inline distT="0" distB="0" distL="0" distR="0">
            <wp:extent cx="3133725" cy="2466975"/>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5"/>
                    <a:stretch>
                      <a:fillRect/>
                    </a:stretch>
                  </pic:blipFill>
                  <pic:spPr bwMode="auto">
                    <a:xfrm>
                      <a:off x="0" y="0"/>
                      <a:ext cx="3133725" cy="2466975"/>
                    </a:xfrm>
                    <a:prstGeom prst="rect">
                      <a:avLst/>
                    </a:prstGeom>
                    <a:noFill/>
                  </pic:spPr>
                </pic:pic>
              </a:graphicData>
            </a:graphic>
          </wp:inline>
        </w:drawing>
      </w:r>
    </w:p>
    <w:p>
      <w:pPr>
        <w:pStyle w:val="Normal"/>
        <w:jc w:val="both"/>
        <w:rPr>
          <w:color w:val="000000"/>
          <w:sz w:val="24"/>
          <w:szCs w:val="24"/>
        </w:rPr>
      </w:pPr>
      <w:r>
        <w:rPr>
          <w:color w:val="000000"/>
          <w:sz w:val="24"/>
          <w:szCs w:val="24"/>
        </w:rPr>
      </w:r>
    </w:p>
    <w:p>
      <w:pPr>
        <w:pStyle w:val="Normal"/>
        <w:jc w:val="both"/>
        <w:rPr/>
      </w:pPr>
      <w:r>
        <w:rPr>
          <w:b/>
          <w:bCs/>
          <w:color w:val="000000"/>
          <w:sz w:val="24"/>
          <w:szCs w:val="24"/>
        </w:rPr>
        <w:t xml:space="preserve">West Coast: Quiet markets, notional assessments. </w:t>
      </w:r>
      <w:r>
        <w:rPr>
          <w:color w:val="000000"/>
          <w:sz w:val="24"/>
          <w:szCs w:val="24"/>
        </w:rPr>
        <w:t xml:space="preserve">The API data indicated that West Coast gasoline inventories actually climbed to near the top of the seasonal range, while diesel inventories continued to decline. In the last two trading days LA CARB diesel spread differentials to gasoline suddenly jumped, as gasoline lost 7 to 9 cpg in spot markets on weak demand with Exxon Mobil ready to restart their Torrance refinery. Jet inventories increased in the API data, and jet fuel prices firmed a bit but only notionally. </w:t>
      </w:r>
    </w:p>
    <w:p>
      <w:pPr>
        <w:sectPr>
          <w:type w:val="continuous"/>
          <w:pgSz w:w="12240" w:h="15840"/>
          <w:pgMar w:left="720" w:right="720" w:gutter="0" w:header="0" w:top="720" w:footer="965" w:bottom="1021"/>
          <w:cols w:num="2" w:space="288" w:equalWidth="true" w:sep="false"/>
          <w:formProt w:val="false"/>
          <w:textDirection w:val="lrTb"/>
        </w:sectPr>
      </w:pPr>
    </w:p>
    <w:p>
      <w:pPr>
        <w:pStyle w:val="Normal"/>
        <w:jc w:val="both"/>
        <w:rPr>
          <w:i/>
          <w:i/>
          <w:iCs/>
          <w:color w:val="000000"/>
          <w:sz w:val="24"/>
          <w:szCs w:val="24"/>
          <w:u w:val="single"/>
        </w:rPr>
      </w:pPr>
      <w:r>
        <w:rPr>
          <w:i/>
          <w:iCs/>
          <w:color w:val="000000"/>
          <w:sz w:val="24"/>
          <w:szCs w:val="24"/>
          <w:u w:val="single"/>
        </w:rPr>
      </w:r>
      <w:bookmarkStart w:id="17" w:name="PacMarb"/>
      <w:bookmarkStart w:id="18" w:name="PacMarb"/>
      <w:bookmarkEnd w:id="18"/>
    </w:p>
    <w:p>
      <w:pPr>
        <w:sectPr>
          <w:type w:val="continuous"/>
          <w:pgSz w:w="12240" w:h="15840"/>
          <w:pgMar w:left="720" w:right="720" w:gutter="0" w:header="0" w:top="720" w:footer="965" w:bottom="1021"/>
          <w:cols w:num="2" w:space="288" w:equalWidth="true" w:sep="false"/>
          <w:formProt w:val="false"/>
          <w:textDirection w:val="lrTb"/>
        </w:sectPr>
      </w:pPr>
    </w:p>
    <w:p>
      <w:pPr>
        <w:pStyle w:val="Normal"/>
        <w:pBdr>
          <w:top w:val="single" w:sz="18" w:space="1" w:color="0000FF"/>
          <w:left w:val="single" w:sz="18" w:space="1" w:color="0000FF"/>
          <w:bottom w:val="single" w:sz="18" w:space="1" w:color="0000FF"/>
          <w:right w:val="single" w:sz="18" w:space="1" w:color="0000FF"/>
        </w:pBdr>
        <w:jc w:val="center"/>
        <w:rPr>
          <w:b/>
          <w:bCs/>
          <w:color w:val="000000"/>
          <w:sz w:val="24"/>
          <w:szCs w:val="24"/>
          <w:u w:val="single"/>
        </w:rPr>
      </w:pPr>
      <w:r>
        <w:rPr>
          <w:b/>
          <w:bCs/>
          <w:color w:val="0000FF"/>
          <w:sz w:val="24"/>
          <w:szCs w:val="24"/>
        </w:rPr>
        <w:t>European Market</w:t>
      </w:r>
    </w:p>
    <w:p>
      <w:pPr>
        <w:pStyle w:val="Normal"/>
        <w:jc w:val="center"/>
        <w:rPr>
          <w:b/>
          <w:bCs/>
          <w:color w:val="000000"/>
          <w:sz w:val="24"/>
          <w:szCs w:val="24"/>
          <w:u w:val="single"/>
        </w:rPr>
      </w:pPr>
      <w:r>
        <w:rPr>
          <w:b/>
          <w:bCs/>
          <w:color w:val="000000"/>
          <w:sz w:val="24"/>
          <w:szCs w:val="24"/>
          <w:u w:val="single"/>
        </w:rPr>
      </w:r>
    </w:p>
    <w:p>
      <w:pPr>
        <w:pStyle w:val="Normal"/>
        <w:jc w:val="center"/>
        <w:rPr>
          <w:b/>
          <w:bCs/>
          <w:color w:val="000000"/>
          <w:sz w:val="24"/>
          <w:szCs w:val="24"/>
          <w:u w:val="single"/>
        </w:rPr>
      </w:pPr>
      <w:r>
        <w:rPr>
          <w:b/>
          <w:bCs/>
          <w:color w:val="000000"/>
          <w:sz w:val="24"/>
          <w:szCs w:val="24"/>
          <w:u w:val="single"/>
        </w:rPr>
        <w:t>IRAQI EXPORTS FROM TURKEY</w:t>
      </w:r>
    </w:p>
    <w:p>
      <w:pPr>
        <w:pStyle w:val="Normal"/>
        <w:jc w:val="center"/>
        <w:rPr>
          <w:color w:val="000000"/>
          <w:sz w:val="24"/>
          <w:szCs w:val="24"/>
        </w:rPr>
      </w:pPr>
      <w:r>
        <w:rPr>
          <w:b/>
          <w:bCs/>
          <w:color w:val="000000"/>
          <w:sz w:val="24"/>
          <w:szCs w:val="24"/>
          <w:u w:val="single"/>
        </w:rPr>
        <w:t>RESUMING TODAY</w:t>
      </w:r>
    </w:p>
    <w:p>
      <w:pPr>
        <w:sectPr>
          <w:type w:val="continuous"/>
          <w:pgSz w:w="12240" w:h="15840"/>
          <w:pgMar w:left="720" w:right="720" w:gutter="0" w:header="0" w:top="720" w:footer="965" w:bottom="1021"/>
          <w:formProt w:val="false"/>
          <w:textDirection w:val="lrTb"/>
        </w:sectPr>
      </w:pPr>
    </w:p>
    <w:p>
      <w:pPr>
        <w:pStyle w:val="Normal"/>
        <w:jc w:val="both"/>
        <w:rPr>
          <w:color w:val="000000"/>
          <w:sz w:val="24"/>
          <w:szCs w:val="24"/>
        </w:rPr>
      </w:pPr>
      <w:r>
        <w:rPr>
          <w:color w:val="000000"/>
          <w:sz w:val="24"/>
          <w:szCs w:val="24"/>
        </w:rPr>
        <w:t xml:space="preserve">The dated Brent wet market was stuck in a narrow range between bids at December flat and offers at December plus 10 cents today, in what amounted to a trading standoff until an afternoon deal at plus 7 cents. A late November Ekofisk was traded at dated plus 10 cents, unchanged from earlier this week. Refiners have already heavily bought the November North Sea programs, and with refinery margins falling there is little interest in paying up for scarce cargoes. Rotterdam complex refinery margins basis Brent were again positive today after gasoil prices had recovered a bit with slightly firmer differentials in some active trading. Products markets in the north were relatively stable today as crude futures dropped. </w:t>
      </w:r>
    </w:p>
    <w:p>
      <w:pPr>
        <w:pStyle w:val="Normal"/>
        <w:jc w:val="both"/>
        <w:rPr>
          <w:color w:val="000000"/>
          <w:sz w:val="24"/>
          <w:szCs w:val="24"/>
        </w:rPr>
      </w:pPr>
      <w:r>
        <w:rPr>
          <w:color w:val="000000"/>
          <w:sz w:val="24"/>
          <w:szCs w:val="24"/>
        </w:rPr>
      </w:r>
    </w:p>
    <w:p>
      <w:pPr>
        <w:pStyle w:val="Normal"/>
        <w:jc w:val="both"/>
        <w:rPr>
          <w:color w:val="000000"/>
          <w:sz w:val="24"/>
          <w:szCs w:val="24"/>
        </w:rPr>
      </w:pPr>
      <w:r>
        <w:rPr>
          <w:color w:val="000000"/>
          <w:sz w:val="24"/>
          <w:szCs w:val="24"/>
        </w:rPr>
        <w:t xml:space="preserve">In the Mediterranean crude market there was some relief as Iraqi exports apparently resumed today ex Turkey with the berthing of a tanker for loading and authorizations released for other ships to load also. Just another Iraqi game of cat and mouse. </w:t>
      </w:r>
    </w:p>
    <w:p>
      <w:pPr>
        <w:sectPr>
          <w:type w:val="continuous"/>
          <w:pgSz w:w="12240" w:h="15840"/>
          <w:pgMar w:left="720" w:right="720" w:gutter="0" w:header="0" w:top="720" w:footer="965" w:bottom="1021"/>
          <w:cols w:num="2" w:space="288" w:equalWidth="true" w:sep="false"/>
          <w:formProt w:val="false"/>
          <w:textDirection w:val="lrTb"/>
        </w:sectPr>
      </w:pPr>
    </w:p>
    <w:p>
      <w:pPr>
        <w:pStyle w:val="Normal"/>
        <w:jc w:val="both"/>
        <w:rPr>
          <w:i/>
          <w:i/>
          <w:iCs/>
          <w:color w:val="000000"/>
          <w:sz w:val="24"/>
          <w:szCs w:val="24"/>
          <w:u w:val="single"/>
        </w:rPr>
      </w:pPr>
      <w:r>
        <w:rPr>
          <w:i/>
          <w:iCs/>
          <w:color w:val="000000"/>
          <w:sz w:val="24"/>
          <w:szCs w:val="24"/>
          <w:u w:val="single"/>
        </w:rPr>
      </w:r>
    </w:p>
    <w:p>
      <w:pPr>
        <w:sectPr>
          <w:type w:val="continuous"/>
          <w:pgSz w:w="12240" w:h="15840"/>
          <w:pgMar w:left="720" w:right="720" w:gutter="0" w:header="0" w:top="720" w:footer="965" w:bottom="1021"/>
          <w:cols w:num="2" w:space="288" w:equalWidth="true" w:sep="false"/>
          <w:formProt w:val="false"/>
          <w:textDirection w:val="lrTb"/>
        </w:sectPr>
      </w:pPr>
    </w:p>
    <w:p>
      <w:pPr>
        <w:pStyle w:val="Normal"/>
        <w:pBdr>
          <w:top w:val="single" w:sz="18" w:space="1" w:color="0000FF"/>
          <w:left w:val="single" w:sz="18" w:space="1" w:color="0000FF"/>
          <w:bottom w:val="single" w:sz="18" w:space="1" w:color="0000FF"/>
          <w:right w:val="single" w:sz="18" w:space="1" w:color="0000FF"/>
        </w:pBdr>
        <w:jc w:val="center"/>
        <w:rPr>
          <w:color w:val="000000"/>
          <w:sz w:val="24"/>
          <w:szCs w:val="24"/>
        </w:rPr>
      </w:pPr>
      <w:r>
        <w:rPr>
          <w:b/>
          <w:bCs/>
          <w:color w:val="0000FF"/>
          <w:sz w:val="24"/>
          <w:szCs w:val="24"/>
        </w:rPr>
        <w:t xml:space="preserve">U.S. Market </w:t>
      </w:r>
    </w:p>
    <w:p>
      <w:pPr>
        <w:pStyle w:val="Normal"/>
        <w:jc w:val="center"/>
        <w:rPr>
          <w:color w:val="FF0000"/>
          <w:sz w:val="24"/>
          <w:szCs w:val="24"/>
        </w:rPr>
      </w:pPr>
      <w:r>
        <w:rPr>
          <w:color w:val="FF0000"/>
          <w:sz w:val="24"/>
          <w:szCs w:val="24"/>
        </w:rPr>
      </w:r>
    </w:p>
    <w:p>
      <w:pPr>
        <w:pStyle w:val="Normal"/>
        <w:jc w:val="center"/>
        <w:rPr>
          <w:b/>
          <w:bCs/>
          <w:color w:val="000000"/>
          <w:sz w:val="24"/>
          <w:szCs w:val="24"/>
          <w:u w:val="single"/>
        </w:rPr>
      </w:pPr>
      <w:bookmarkStart w:id="19" w:name="USMart"/>
      <w:bookmarkEnd w:id="19"/>
      <w:r>
        <w:rPr>
          <w:b/>
          <w:bCs/>
          <w:color w:val="000000"/>
          <w:sz w:val="24"/>
          <w:szCs w:val="24"/>
          <w:u w:val="single"/>
        </w:rPr>
        <w:t>AGA NATURAL GAS INVENTORIES</w:t>
      </w:r>
    </w:p>
    <w:p>
      <w:pPr>
        <w:pStyle w:val="Normal"/>
        <w:jc w:val="center"/>
        <w:rPr>
          <w:color w:val="000000"/>
          <w:sz w:val="24"/>
          <w:szCs w:val="24"/>
        </w:rPr>
      </w:pPr>
      <w:bookmarkStart w:id="20" w:name="USMart"/>
      <w:bookmarkEnd w:id="20"/>
      <w:r>
        <w:rPr>
          <w:b/>
          <w:bCs/>
          <w:color w:val="000000"/>
          <w:sz w:val="24"/>
          <w:szCs w:val="24"/>
          <w:u w:val="single"/>
        </w:rPr>
        <w:t>LESS THAN EXPECTED, PRICES SOAR</w:t>
      </w:r>
    </w:p>
    <w:p>
      <w:pPr>
        <w:sectPr>
          <w:type w:val="continuous"/>
          <w:pgSz w:w="12240" w:h="15840"/>
          <w:pgMar w:left="720" w:right="720" w:gutter="0" w:header="0" w:top="720" w:footer="965" w:bottom="1021"/>
          <w:formProt w:val="false"/>
          <w:textDirection w:val="lrTb"/>
        </w:sectPr>
      </w:pPr>
    </w:p>
    <w:p>
      <w:pPr>
        <w:pStyle w:val="Normal"/>
        <w:jc w:val="both"/>
        <w:rPr/>
      </w:pPr>
      <w:bookmarkStart w:id="21" w:name="USMarb"/>
      <w:bookmarkEnd w:id="21"/>
      <w:r>
        <w:rPr>
          <w:color w:val="000000"/>
          <w:sz w:val="24"/>
          <w:szCs w:val="24"/>
        </w:rPr>
        <w:t>The AGA inventory report today indicated a smaller inventory build than expected, at 36 bcf actual versus 40-50 expected, and natural gas futures soared by 5%. The inventory gap from last year at this time narrowed from 283 to 259 bcf, still a deficit of 8.6%. Cash market prices jumped but were still trailing futures by some 30 cents, which may indicate that futures prices have been overdone this week. The EIA today issued its latest natural gas supply/demand balance indicating 4</w:t>
      </w:r>
      <w:r>
        <w:rPr>
          <w:color w:val="000000"/>
          <w:sz w:val="24"/>
          <w:szCs w:val="24"/>
          <w:vertAlign w:val="superscript"/>
        </w:rPr>
        <w:t>th</w:t>
      </w:r>
      <w:r>
        <w:rPr>
          <w:color w:val="000000"/>
          <w:sz w:val="24"/>
          <w:szCs w:val="24"/>
        </w:rPr>
        <w:t xml:space="preserve"> quarter supply still exceeding demand a bit, with slightly lower demand than prior forecasts, and a wellhead price of $4.51 per MCF, dropping off to $4.11 in the 1</w:t>
      </w:r>
      <w:r>
        <w:rPr>
          <w:color w:val="000000"/>
          <w:sz w:val="24"/>
          <w:szCs w:val="24"/>
          <w:vertAlign w:val="superscript"/>
        </w:rPr>
        <w:t>st</w:t>
      </w:r>
      <w:r>
        <w:rPr>
          <w:color w:val="000000"/>
          <w:sz w:val="24"/>
          <w:szCs w:val="24"/>
        </w:rPr>
        <w:t xml:space="preserve"> quarter. </w:t>
      </w:r>
    </w:p>
    <w:p>
      <w:pPr>
        <w:pStyle w:val="Normal"/>
        <w:jc w:val="both"/>
        <w:rPr>
          <w:color w:val="000000"/>
          <w:sz w:val="24"/>
          <w:szCs w:val="24"/>
        </w:rPr>
      </w:pPr>
      <w:r>
        <w:rPr>
          <w:color w:val="000000"/>
          <w:sz w:val="24"/>
          <w:szCs w:val="24"/>
        </w:rPr>
      </w:r>
    </w:p>
    <w:p>
      <w:pPr>
        <w:pStyle w:val="Normal"/>
        <w:jc w:val="both"/>
        <w:rPr>
          <w:color w:val="000000"/>
          <w:sz w:val="24"/>
          <w:szCs w:val="24"/>
        </w:rPr>
      </w:pPr>
      <w:r>
        <w:rPr>
          <w:color w:val="000000"/>
          <w:sz w:val="24"/>
          <w:szCs w:val="24"/>
        </w:rPr>
        <w:t xml:space="preserve">In domestic crude markets LLS differentials eased a bit while HLS values were firm, bringing the LLS/HLS differential almost to zero compared to an average of plus 27 cents for the year. </w:t>
      </w:r>
    </w:p>
    <w:p>
      <w:pPr>
        <w:pStyle w:val="Normal"/>
        <w:jc w:val="both"/>
        <w:rPr>
          <w:color w:val="000000"/>
          <w:sz w:val="24"/>
          <w:szCs w:val="24"/>
        </w:rPr>
      </w:pPr>
      <w:r>
        <w:rPr>
          <w:color w:val="000000"/>
          <w:sz w:val="24"/>
          <w:szCs w:val="24"/>
        </w:rPr>
      </w:r>
    </w:p>
    <w:p>
      <w:pPr>
        <w:pStyle w:val="Normal"/>
        <w:jc w:val="both"/>
        <w:rPr>
          <w:color w:val="000000"/>
          <w:sz w:val="24"/>
          <w:szCs w:val="24"/>
        </w:rPr>
      </w:pPr>
      <w:r>
        <w:rPr>
          <w:color w:val="000000"/>
          <w:sz w:val="24"/>
          <w:szCs w:val="24"/>
        </w:rPr>
        <w:t xml:space="preserve">In downstream markets, gasoline values to the screen slipped on the Gulf Coast despite lower inventories reported, and firm New York Harbor differentials to the screen were partly negated by a hard decline in the underlying December NYMEX contract. This was due to a concern about rising imports. The NYMEX December heating oil contract was firm, however Harbor distillate was easing on indifferent demand. OPIS reported the near completion of ‘world class’ upgrading investment at Premcor’s (Clark Oil) refinery at Port Arthur, Texas. </w:t>
      </w:r>
    </w:p>
    <w:p>
      <w:pPr>
        <w:sectPr>
          <w:type w:val="continuous"/>
          <w:pgSz w:w="12240" w:h="15840"/>
          <w:pgMar w:left="720" w:right="720" w:gutter="0" w:header="0" w:top="720" w:footer="965" w:bottom="1021"/>
          <w:cols w:num="2" w:space="288" w:equalWidth="true" w:sep="false"/>
          <w:formProt w:val="false"/>
          <w:textDirection w:val="lrTb"/>
        </w:sectPr>
      </w:pPr>
    </w:p>
    <w:p>
      <w:pPr>
        <w:pStyle w:val="Normal"/>
        <w:jc w:val="both"/>
        <w:rPr>
          <w:color w:val="000000"/>
          <w:sz w:val="24"/>
          <w:szCs w:val="24"/>
        </w:rPr>
      </w:pPr>
      <w:r>
        <w:rPr>
          <w:color w:val="000000"/>
          <w:sz w:val="24"/>
          <w:szCs w:val="24"/>
        </w:rPr>
      </w:r>
      <w:bookmarkStart w:id="22" w:name="USMarb"/>
      <w:bookmarkStart w:id="23" w:name="USMarb"/>
      <w:bookmarkEnd w:id="23"/>
    </w:p>
    <w:p>
      <w:pPr>
        <w:sectPr>
          <w:type w:val="continuous"/>
          <w:pgSz w:w="12240" w:h="15840"/>
          <w:pgMar w:left="720" w:right="720" w:gutter="0" w:header="0" w:top="720" w:footer="965" w:bottom="1021"/>
          <w:cols w:num="2" w:space="288" w:equalWidth="true" w:sep="false"/>
          <w:formProt w:val="false"/>
          <w:textDirection w:val="lrTb"/>
        </w:sectPr>
      </w:pPr>
    </w:p>
    <w:p>
      <w:pPr>
        <w:pStyle w:val="Normal"/>
        <w:pBdr>
          <w:top w:val="single" w:sz="18" w:space="1" w:color="0000FF"/>
          <w:left w:val="single" w:sz="18" w:space="1" w:color="0000FF"/>
          <w:bottom w:val="single" w:sz="18" w:space="1" w:color="0000FF"/>
          <w:right w:val="single" w:sz="18" w:space="1" w:color="0000FF"/>
        </w:pBdr>
        <w:jc w:val="center"/>
        <w:rPr>
          <w:b/>
          <w:bCs/>
          <w:color w:val="0000FF"/>
          <w:sz w:val="24"/>
          <w:szCs w:val="24"/>
        </w:rPr>
      </w:pPr>
      <w:r>
        <w:rPr>
          <w:b/>
          <w:bCs/>
          <w:color w:val="0000FF"/>
          <w:sz w:val="24"/>
          <w:szCs w:val="24"/>
        </w:rPr>
        <w:t>Trader’s Corner</w:t>
      </w:r>
    </w:p>
    <w:p>
      <w:pPr>
        <w:pStyle w:val="Normal"/>
        <w:rPr>
          <w:b/>
          <w:bCs/>
          <w:color w:val="000000"/>
          <w:sz w:val="24"/>
          <w:szCs w:val="24"/>
          <w:u w:val="single"/>
        </w:rPr>
      </w:pPr>
      <w:r>
        <w:rPr>
          <w:b/>
          <w:bCs/>
          <w:color w:val="000000"/>
          <w:sz w:val="24"/>
          <w:szCs w:val="24"/>
          <w:u w:val="single"/>
        </w:rPr>
      </w:r>
      <w:bookmarkStart w:id="24" w:name="APICommt"/>
      <w:bookmarkStart w:id="25" w:name="APICommt"/>
      <w:bookmarkEnd w:id="25"/>
    </w:p>
    <w:p>
      <w:pPr>
        <w:sectPr>
          <w:type w:val="continuous"/>
          <w:pgSz w:w="12240" w:h="15840"/>
          <w:pgMar w:left="720" w:right="720" w:gutter="0" w:header="0" w:top="720" w:footer="965" w:bottom="1021"/>
          <w:formProt w:val="false"/>
          <w:textDirection w:val="lrTb"/>
        </w:sectPr>
      </w:pPr>
    </w:p>
    <w:p>
      <w:pPr>
        <w:pStyle w:val="Normal"/>
        <w:jc w:val="both"/>
        <w:rPr>
          <w:color w:val="000000"/>
          <w:sz w:val="24"/>
          <w:szCs w:val="24"/>
        </w:rPr>
      </w:pPr>
      <w:bookmarkStart w:id="26" w:name="APICommb"/>
      <w:bookmarkEnd w:id="26"/>
      <w:r>
        <w:rPr>
          <w:color w:val="000000"/>
          <w:sz w:val="24"/>
          <w:szCs w:val="24"/>
        </w:rPr>
        <w:t xml:space="preserve">Worldwide refinery margins have fallen significantly, especially in Singapore and Europe. The crude oil rally continued as most spot products prices were weaker. </w:t>
      </w:r>
    </w:p>
    <w:p>
      <w:pPr>
        <w:sectPr>
          <w:type w:val="continuous"/>
          <w:pgSz w:w="12240" w:h="15840"/>
          <w:pgMar w:left="720" w:right="720" w:gutter="0" w:header="0" w:top="720" w:footer="965" w:bottom="1021"/>
          <w:cols w:num="2" w:space="288" w:equalWidth="true" w:sep="false"/>
          <w:formProt w:val="false"/>
          <w:textDirection w:val="lrTb"/>
        </w:sectPr>
      </w:pPr>
    </w:p>
    <w:p>
      <w:pPr>
        <w:pStyle w:val="Normal"/>
        <w:jc w:val="both"/>
        <w:rPr>
          <w:color w:val="000000"/>
          <w:sz w:val="24"/>
          <w:szCs w:val="24"/>
        </w:rPr>
      </w:pPr>
      <w:r>
        <w:rPr>
          <w:color w:val="000000"/>
          <w:sz w:val="24"/>
          <w:szCs w:val="24"/>
        </w:rPr>
      </w:r>
    </w:p>
    <w:p>
      <w:pPr>
        <w:sectPr>
          <w:type w:val="continuous"/>
          <w:pgSz w:w="12240" w:h="15840"/>
          <w:pgMar w:left="720" w:right="720" w:gutter="0" w:header="0" w:top="720" w:footer="965" w:bottom="1021"/>
          <w:cols w:num="2" w:space="288" w:equalWidth="true" w:sep="false"/>
          <w:formProt w:val="false"/>
          <w:textDirection w:val="lrTb"/>
        </w:sectPr>
      </w:pPr>
    </w:p>
    <w:p>
      <w:pPr>
        <w:pStyle w:val="Normal"/>
        <w:jc w:val="both"/>
        <w:rPr>
          <w:color w:val="000000"/>
          <w:sz w:val="24"/>
          <w:szCs w:val="24"/>
        </w:rPr>
      </w:pPr>
      <w:r>
        <w:rPr>
          <w:color w:val="000000"/>
          <w:sz w:val="24"/>
          <w:szCs w:val="24"/>
        </w:rPr>
      </w:r>
    </w:p>
    <w:tbl>
      <w:tblPr>
        <w:tblW w:w="11016" w:type="dxa"/>
        <w:jc w:val="start"/>
        <w:tblInd w:w="0" w:type="dxa"/>
        <w:tblLayout w:type="fixed"/>
        <w:tblCellMar>
          <w:top w:w="0" w:type="dxa"/>
          <w:start w:w="108" w:type="dxa"/>
          <w:bottom w:w="0" w:type="dxa"/>
          <w:end w:w="108" w:type="dxa"/>
        </w:tblCellMar>
      </w:tblPr>
      <w:tblGrid>
        <w:gridCol w:w="2898"/>
        <w:gridCol w:w="2250"/>
        <w:gridCol w:w="1980"/>
        <w:gridCol w:w="3888"/>
      </w:tblGrid>
      <w:tr>
        <w:trPr/>
        <w:tc>
          <w:tcPr>
            <w:tcW w:w="2898" w:type="dxa"/>
            <w:tcBorders/>
          </w:tcPr>
          <w:p>
            <w:pPr>
              <w:pStyle w:val="Heading1"/>
              <w:ind w:hanging="0" w:start="0"/>
              <w:rPr/>
            </w:pPr>
            <w:r>
              <w:rPr/>
              <w:t>Refinery Spot Margins</w:t>
            </w:r>
          </w:p>
        </w:tc>
        <w:tc>
          <w:tcPr>
            <w:tcW w:w="2250" w:type="dxa"/>
            <w:tcBorders/>
          </w:tcPr>
          <w:p>
            <w:pPr>
              <w:pStyle w:val="Normal"/>
              <w:jc w:val="both"/>
              <w:rPr>
                <w:b/>
                <w:bCs/>
                <w:color w:val="000000"/>
                <w:sz w:val="22"/>
                <w:szCs w:val="22"/>
              </w:rPr>
            </w:pPr>
            <w:r>
              <w:rPr>
                <w:b/>
                <w:bCs/>
                <w:color w:val="000000"/>
                <w:sz w:val="22"/>
                <w:szCs w:val="22"/>
              </w:rPr>
              <w:t xml:space="preserve">Regional </w:t>
            </w:r>
          </w:p>
        </w:tc>
        <w:tc>
          <w:tcPr>
            <w:tcW w:w="1980" w:type="dxa"/>
            <w:tcBorders/>
          </w:tcPr>
          <w:p>
            <w:pPr>
              <w:pStyle w:val="Normal"/>
              <w:jc w:val="both"/>
              <w:rPr>
                <w:b/>
                <w:bCs/>
                <w:color w:val="000000"/>
                <w:sz w:val="22"/>
                <w:szCs w:val="22"/>
              </w:rPr>
            </w:pPr>
            <w:r>
              <w:rPr>
                <w:b/>
                <w:bCs/>
                <w:color w:val="000000"/>
                <w:sz w:val="22"/>
                <w:szCs w:val="22"/>
              </w:rPr>
              <w:t>Sweet Arb</w:t>
            </w:r>
          </w:p>
        </w:tc>
        <w:tc>
          <w:tcPr>
            <w:tcW w:w="3888" w:type="dxa"/>
            <w:tcBorders/>
          </w:tcPr>
          <w:p>
            <w:pPr>
              <w:pStyle w:val="Normal"/>
              <w:jc w:val="both"/>
              <w:rPr>
                <w:b/>
                <w:bCs/>
                <w:color w:val="000000"/>
                <w:sz w:val="22"/>
                <w:szCs w:val="22"/>
              </w:rPr>
            </w:pPr>
            <w:r>
              <w:rPr>
                <w:b/>
                <w:bCs/>
                <w:color w:val="000000"/>
                <w:sz w:val="22"/>
                <w:szCs w:val="22"/>
              </w:rPr>
              <w:t>Margins Trends</w:t>
            </w:r>
          </w:p>
        </w:tc>
      </w:tr>
      <w:tr>
        <w:trPr/>
        <w:tc>
          <w:tcPr>
            <w:tcW w:w="2898" w:type="dxa"/>
            <w:tcBorders/>
          </w:tcPr>
          <w:p>
            <w:pPr>
              <w:pStyle w:val="Normal"/>
              <w:jc w:val="both"/>
              <w:rPr>
                <w:b/>
                <w:bCs/>
                <w:color w:val="000000"/>
                <w:sz w:val="22"/>
                <w:szCs w:val="22"/>
              </w:rPr>
            </w:pPr>
            <w:r>
              <w:rPr>
                <w:b/>
                <w:bCs/>
                <w:color w:val="000000"/>
                <w:sz w:val="22"/>
                <w:szCs w:val="22"/>
              </w:rPr>
              <w:t>Ranked by Relative Strength</w:t>
            </w:r>
          </w:p>
        </w:tc>
        <w:tc>
          <w:tcPr>
            <w:tcW w:w="2250" w:type="dxa"/>
            <w:tcBorders/>
          </w:tcPr>
          <w:p>
            <w:pPr>
              <w:pStyle w:val="Normal"/>
              <w:jc w:val="both"/>
              <w:rPr>
                <w:b/>
                <w:bCs/>
                <w:color w:val="000000"/>
                <w:sz w:val="22"/>
                <w:szCs w:val="22"/>
              </w:rPr>
            </w:pPr>
            <w:r>
              <w:rPr>
                <w:b/>
                <w:bCs/>
                <w:color w:val="000000"/>
                <w:sz w:val="22"/>
                <w:szCs w:val="22"/>
              </w:rPr>
              <w:t>Crude</w:t>
            </w:r>
          </w:p>
        </w:tc>
        <w:tc>
          <w:tcPr>
            <w:tcW w:w="1980" w:type="dxa"/>
            <w:tcBorders/>
          </w:tcPr>
          <w:p>
            <w:pPr>
              <w:pStyle w:val="Normal"/>
              <w:jc w:val="both"/>
              <w:rPr>
                <w:b/>
                <w:bCs/>
                <w:color w:val="000000"/>
                <w:sz w:val="22"/>
                <w:szCs w:val="22"/>
              </w:rPr>
            </w:pPr>
            <w:r>
              <w:rPr>
                <w:b/>
                <w:bCs/>
                <w:color w:val="000000"/>
                <w:sz w:val="22"/>
                <w:szCs w:val="22"/>
              </w:rPr>
              <w:t>Crude</w:t>
            </w:r>
          </w:p>
        </w:tc>
        <w:tc>
          <w:tcPr>
            <w:tcW w:w="3888" w:type="dxa"/>
            <w:tcBorders/>
          </w:tcPr>
          <w:p>
            <w:pPr>
              <w:pStyle w:val="Normal"/>
              <w:jc w:val="both"/>
              <w:rPr>
                <w:b/>
                <w:bCs/>
                <w:color w:val="000000"/>
                <w:sz w:val="22"/>
                <w:szCs w:val="22"/>
              </w:rPr>
            </w:pPr>
            <w:r>
              <w:rPr>
                <w:b/>
                <w:bCs/>
                <w:color w:val="000000"/>
                <w:sz w:val="22"/>
                <w:szCs w:val="22"/>
              </w:rPr>
              <w:t>Over past two weeks</w:t>
            </w:r>
          </w:p>
        </w:tc>
      </w:tr>
      <w:tr>
        <w:trPr/>
        <w:tc>
          <w:tcPr>
            <w:tcW w:w="2898" w:type="dxa"/>
            <w:tcBorders/>
          </w:tcPr>
          <w:p>
            <w:pPr>
              <w:pStyle w:val="Normal"/>
              <w:jc w:val="both"/>
              <w:rPr>
                <w:b/>
                <w:bCs/>
                <w:color w:val="000000"/>
                <w:sz w:val="22"/>
                <w:szCs w:val="22"/>
              </w:rPr>
            </w:pPr>
            <w:r>
              <w:rPr>
                <w:b/>
                <w:bCs/>
                <w:color w:val="000000"/>
                <w:sz w:val="22"/>
                <w:szCs w:val="22"/>
              </w:rPr>
              <w:t>$/Bbl as of 11/07/00</w:t>
            </w:r>
          </w:p>
        </w:tc>
        <w:tc>
          <w:tcPr>
            <w:tcW w:w="2250" w:type="dxa"/>
            <w:tcBorders/>
          </w:tcPr>
          <w:p>
            <w:pPr>
              <w:pStyle w:val="Normal"/>
              <w:snapToGrid w:val="false"/>
              <w:jc w:val="both"/>
              <w:rPr>
                <w:b/>
                <w:bCs/>
                <w:color w:val="000000"/>
                <w:sz w:val="22"/>
                <w:szCs w:val="22"/>
              </w:rPr>
            </w:pPr>
            <w:r>
              <w:rPr>
                <w:b/>
                <w:bCs/>
                <w:color w:val="000000"/>
                <w:sz w:val="22"/>
                <w:szCs w:val="22"/>
              </w:rPr>
            </w:r>
          </w:p>
        </w:tc>
        <w:tc>
          <w:tcPr>
            <w:tcW w:w="1980" w:type="dxa"/>
            <w:tcBorders/>
          </w:tcPr>
          <w:p>
            <w:pPr>
              <w:pStyle w:val="Normal"/>
              <w:snapToGrid w:val="false"/>
              <w:jc w:val="both"/>
              <w:rPr>
                <w:b/>
                <w:bCs/>
                <w:color w:val="000000"/>
                <w:sz w:val="22"/>
                <w:szCs w:val="22"/>
              </w:rPr>
            </w:pPr>
            <w:r>
              <w:rPr>
                <w:b/>
                <w:bCs/>
                <w:color w:val="000000"/>
                <w:sz w:val="22"/>
                <w:szCs w:val="22"/>
              </w:rPr>
            </w:r>
          </w:p>
        </w:tc>
        <w:tc>
          <w:tcPr>
            <w:tcW w:w="3888" w:type="dxa"/>
            <w:tcBorders/>
          </w:tcPr>
          <w:p>
            <w:pPr>
              <w:pStyle w:val="Normal"/>
              <w:snapToGrid w:val="false"/>
              <w:jc w:val="both"/>
              <w:rPr>
                <w:b/>
                <w:bCs/>
                <w:color w:val="000000"/>
                <w:sz w:val="22"/>
                <w:szCs w:val="22"/>
              </w:rPr>
            </w:pPr>
            <w:r>
              <w:rPr>
                <w:b/>
                <w:bCs/>
                <w:color w:val="000000"/>
                <w:sz w:val="22"/>
                <w:szCs w:val="22"/>
              </w:rPr>
            </w:r>
          </w:p>
        </w:tc>
      </w:tr>
      <w:tr>
        <w:trPr/>
        <w:tc>
          <w:tcPr>
            <w:tcW w:w="2898" w:type="dxa"/>
            <w:tcBorders/>
          </w:tcPr>
          <w:p>
            <w:pPr>
              <w:pStyle w:val="Normal"/>
              <w:jc w:val="both"/>
              <w:rPr>
                <w:color w:val="000000"/>
                <w:sz w:val="22"/>
                <w:szCs w:val="22"/>
              </w:rPr>
            </w:pPr>
            <w:r>
              <w:rPr>
                <w:color w:val="000000"/>
                <w:sz w:val="22"/>
                <w:szCs w:val="22"/>
              </w:rPr>
              <w:t>USWC</w:t>
            </w:r>
          </w:p>
        </w:tc>
        <w:tc>
          <w:tcPr>
            <w:tcW w:w="2250" w:type="dxa"/>
            <w:tcBorders/>
          </w:tcPr>
          <w:p>
            <w:pPr>
              <w:pStyle w:val="Normal"/>
              <w:jc w:val="both"/>
              <w:rPr>
                <w:color w:val="000000"/>
                <w:sz w:val="22"/>
                <w:szCs w:val="22"/>
              </w:rPr>
            </w:pPr>
            <w:r>
              <w:rPr>
                <w:color w:val="000000"/>
                <w:sz w:val="22"/>
                <w:szCs w:val="22"/>
              </w:rPr>
              <w:t>18.28 (ANS)</w:t>
            </w:r>
          </w:p>
        </w:tc>
        <w:tc>
          <w:tcPr>
            <w:tcW w:w="1980" w:type="dxa"/>
            <w:tcBorders/>
          </w:tcPr>
          <w:p>
            <w:pPr>
              <w:pStyle w:val="Normal"/>
              <w:jc w:val="both"/>
              <w:rPr>
                <w:color w:val="000000"/>
                <w:sz w:val="22"/>
                <w:szCs w:val="22"/>
              </w:rPr>
            </w:pPr>
            <w:r>
              <w:rPr>
                <w:color w:val="000000"/>
                <w:sz w:val="22"/>
                <w:szCs w:val="22"/>
              </w:rPr>
              <w:t>17.28 (Minas)</w:t>
            </w:r>
          </w:p>
        </w:tc>
        <w:tc>
          <w:tcPr>
            <w:tcW w:w="3888" w:type="dxa"/>
            <w:tcBorders/>
          </w:tcPr>
          <w:p>
            <w:pPr>
              <w:pStyle w:val="Normal"/>
              <w:jc w:val="both"/>
              <w:rPr>
                <w:color w:val="000000"/>
                <w:sz w:val="22"/>
                <w:szCs w:val="22"/>
              </w:rPr>
            </w:pPr>
            <w:r>
              <w:rPr>
                <w:color w:val="000000"/>
                <w:sz w:val="22"/>
                <w:szCs w:val="22"/>
              </w:rPr>
              <w:t>Margins soar on strong mogas; then fall</w:t>
            </w:r>
          </w:p>
        </w:tc>
      </w:tr>
      <w:tr>
        <w:trPr/>
        <w:tc>
          <w:tcPr>
            <w:tcW w:w="2898" w:type="dxa"/>
            <w:tcBorders/>
          </w:tcPr>
          <w:p>
            <w:pPr>
              <w:pStyle w:val="Normal"/>
              <w:jc w:val="both"/>
              <w:rPr>
                <w:color w:val="000000"/>
                <w:sz w:val="22"/>
                <w:szCs w:val="22"/>
              </w:rPr>
            </w:pPr>
            <w:r>
              <w:rPr>
                <w:color w:val="000000"/>
                <w:sz w:val="22"/>
                <w:szCs w:val="22"/>
              </w:rPr>
              <w:t>USEC</w:t>
            </w:r>
          </w:p>
        </w:tc>
        <w:tc>
          <w:tcPr>
            <w:tcW w:w="2250" w:type="dxa"/>
            <w:tcBorders/>
          </w:tcPr>
          <w:p>
            <w:pPr>
              <w:pStyle w:val="Normal"/>
              <w:jc w:val="both"/>
              <w:rPr>
                <w:color w:val="000000"/>
                <w:sz w:val="22"/>
                <w:szCs w:val="22"/>
              </w:rPr>
            </w:pPr>
            <w:r>
              <w:rPr>
                <w:color w:val="000000"/>
                <w:sz w:val="22"/>
                <w:szCs w:val="22"/>
              </w:rPr>
              <w:t>5.21 (Escravos)</w:t>
            </w:r>
          </w:p>
        </w:tc>
        <w:tc>
          <w:tcPr>
            <w:tcW w:w="1980" w:type="dxa"/>
            <w:tcBorders/>
          </w:tcPr>
          <w:p>
            <w:pPr>
              <w:pStyle w:val="Normal"/>
              <w:jc w:val="both"/>
              <w:rPr>
                <w:color w:val="000000"/>
                <w:sz w:val="22"/>
                <w:szCs w:val="22"/>
              </w:rPr>
            </w:pPr>
            <w:r>
              <w:rPr>
                <w:color w:val="000000"/>
                <w:sz w:val="22"/>
                <w:szCs w:val="22"/>
              </w:rPr>
              <w:t>4.26 (Bonny Lt)</w:t>
            </w:r>
          </w:p>
        </w:tc>
        <w:tc>
          <w:tcPr>
            <w:tcW w:w="3888" w:type="dxa"/>
            <w:tcBorders/>
          </w:tcPr>
          <w:p>
            <w:pPr>
              <w:pStyle w:val="Normal"/>
              <w:jc w:val="both"/>
              <w:rPr>
                <w:color w:val="000000"/>
                <w:sz w:val="22"/>
                <w:szCs w:val="22"/>
              </w:rPr>
            </w:pPr>
            <w:r>
              <w:rPr>
                <w:color w:val="000000"/>
                <w:sz w:val="22"/>
                <w:szCs w:val="22"/>
              </w:rPr>
              <w:t>Margins fall by 50% as gasoline weakens</w:t>
            </w:r>
          </w:p>
        </w:tc>
      </w:tr>
      <w:tr>
        <w:trPr/>
        <w:tc>
          <w:tcPr>
            <w:tcW w:w="2898" w:type="dxa"/>
            <w:tcBorders/>
          </w:tcPr>
          <w:p>
            <w:pPr>
              <w:pStyle w:val="Normal"/>
              <w:jc w:val="both"/>
              <w:rPr>
                <w:color w:val="000000"/>
                <w:sz w:val="22"/>
                <w:szCs w:val="22"/>
              </w:rPr>
            </w:pPr>
            <w:r>
              <w:rPr>
                <w:color w:val="000000"/>
                <w:sz w:val="22"/>
                <w:szCs w:val="22"/>
              </w:rPr>
              <w:t>U.S. Upper Midwest</w:t>
            </w:r>
          </w:p>
        </w:tc>
        <w:tc>
          <w:tcPr>
            <w:tcW w:w="2250" w:type="dxa"/>
            <w:tcBorders/>
          </w:tcPr>
          <w:p>
            <w:pPr>
              <w:pStyle w:val="Normal"/>
              <w:jc w:val="both"/>
              <w:rPr>
                <w:color w:val="000000"/>
                <w:sz w:val="22"/>
                <w:szCs w:val="22"/>
              </w:rPr>
            </w:pPr>
            <w:r>
              <w:rPr>
                <w:color w:val="000000"/>
                <w:sz w:val="22"/>
                <w:szCs w:val="22"/>
              </w:rPr>
              <w:t>3.60 (WTI)</w:t>
            </w:r>
          </w:p>
        </w:tc>
        <w:tc>
          <w:tcPr>
            <w:tcW w:w="1980" w:type="dxa"/>
            <w:tcBorders/>
          </w:tcPr>
          <w:p>
            <w:pPr>
              <w:pStyle w:val="Normal"/>
              <w:jc w:val="both"/>
              <w:rPr>
                <w:color w:val="000000"/>
                <w:sz w:val="22"/>
                <w:szCs w:val="22"/>
              </w:rPr>
            </w:pPr>
            <w:r>
              <w:rPr>
                <w:color w:val="000000"/>
                <w:sz w:val="22"/>
                <w:szCs w:val="22"/>
              </w:rPr>
              <w:t>2.41 (Bonny Lt)</w:t>
            </w:r>
          </w:p>
        </w:tc>
        <w:tc>
          <w:tcPr>
            <w:tcW w:w="3888" w:type="dxa"/>
            <w:tcBorders/>
          </w:tcPr>
          <w:p>
            <w:pPr>
              <w:pStyle w:val="Normal"/>
              <w:jc w:val="both"/>
              <w:rPr>
                <w:color w:val="000000"/>
                <w:sz w:val="22"/>
                <w:szCs w:val="22"/>
              </w:rPr>
            </w:pPr>
            <w:r>
              <w:rPr>
                <w:color w:val="000000"/>
                <w:sz w:val="22"/>
                <w:szCs w:val="22"/>
              </w:rPr>
              <w:t>Margins fall hard on gasoline and HTO</w:t>
            </w:r>
          </w:p>
        </w:tc>
      </w:tr>
      <w:tr>
        <w:trPr/>
        <w:tc>
          <w:tcPr>
            <w:tcW w:w="2898" w:type="dxa"/>
            <w:tcBorders/>
          </w:tcPr>
          <w:p>
            <w:pPr>
              <w:pStyle w:val="Normal"/>
              <w:jc w:val="both"/>
              <w:rPr>
                <w:color w:val="000000"/>
                <w:sz w:val="22"/>
                <w:szCs w:val="22"/>
              </w:rPr>
            </w:pPr>
            <w:r>
              <w:rPr>
                <w:color w:val="000000"/>
                <w:sz w:val="22"/>
                <w:szCs w:val="22"/>
              </w:rPr>
              <w:t>U.S. Midcontinent</w:t>
            </w:r>
          </w:p>
        </w:tc>
        <w:tc>
          <w:tcPr>
            <w:tcW w:w="2250" w:type="dxa"/>
            <w:tcBorders/>
          </w:tcPr>
          <w:p>
            <w:pPr>
              <w:pStyle w:val="Normal"/>
              <w:jc w:val="both"/>
              <w:rPr>
                <w:color w:val="000000"/>
                <w:sz w:val="22"/>
                <w:szCs w:val="22"/>
              </w:rPr>
            </w:pPr>
            <w:r>
              <w:rPr>
                <w:color w:val="000000"/>
                <w:sz w:val="22"/>
                <w:szCs w:val="22"/>
              </w:rPr>
              <w:t>3.09 (WTI)</w:t>
            </w:r>
          </w:p>
        </w:tc>
        <w:tc>
          <w:tcPr>
            <w:tcW w:w="1980" w:type="dxa"/>
            <w:tcBorders/>
          </w:tcPr>
          <w:p>
            <w:pPr>
              <w:pStyle w:val="Normal"/>
              <w:jc w:val="both"/>
              <w:rPr>
                <w:color w:val="000000"/>
                <w:sz w:val="22"/>
                <w:szCs w:val="22"/>
              </w:rPr>
            </w:pPr>
            <w:r>
              <w:rPr>
                <w:color w:val="000000"/>
                <w:sz w:val="22"/>
                <w:szCs w:val="22"/>
              </w:rPr>
              <w:t>1.08 (Bonny Lt)</w:t>
            </w:r>
          </w:p>
        </w:tc>
        <w:tc>
          <w:tcPr>
            <w:tcW w:w="3888" w:type="dxa"/>
            <w:tcBorders/>
          </w:tcPr>
          <w:p>
            <w:pPr>
              <w:pStyle w:val="Normal"/>
              <w:jc w:val="both"/>
              <w:rPr>
                <w:color w:val="000000"/>
                <w:sz w:val="22"/>
                <w:szCs w:val="22"/>
              </w:rPr>
            </w:pPr>
            <w:r>
              <w:rPr>
                <w:color w:val="000000"/>
                <w:sz w:val="22"/>
                <w:szCs w:val="22"/>
              </w:rPr>
              <w:t>Margins fall hard on gasoline and HTO</w:t>
            </w:r>
          </w:p>
        </w:tc>
      </w:tr>
      <w:tr>
        <w:trPr/>
        <w:tc>
          <w:tcPr>
            <w:tcW w:w="2898" w:type="dxa"/>
            <w:tcBorders/>
          </w:tcPr>
          <w:p>
            <w:pPr>
              <w:pStyle w:val="Normal"/>
              <w:jc w:val="both"/>
              <w:rPr>
                <w:color w:val="000000"/>
                <w:sz w:val="22"/>
                <w:szCs w:val="22"/>
              </w:rPr>
            </w:pPr>
            <w:r>
              <w:rPr>
                <w:color w:val="000000"/>
                <w:sz w:val="22"/>
                <w:szCs w:val="22"/>
              </w:rPr>
              <w:t>USGC</w:t>
            </w:r>
          </w:p>
        </w:tc>
        <w:tc>
          <w:tcPr>
            <w:tcW w:w="2250" w:type="dxa"/>
            <w:tcBorders/>
          </w:tcPr>
          <w:p>
            <w:pPr>
              <w:pStyle w:val="Normal"/>
              <w:jc w:val="both"/>
              <w:rPr>
                <w:color w:val="000000"/>
                <w:sz w:val="22"/>
                <w:szCs w:val="22"/>
              </w:rPr>
            </w:pPr>
            <w:r>
              <w:rPr>
                <w:color w:val="000000"/>
                <w:sz w:val="22"/>
                <w:szCs w:val="22"/>
              </w:rPr>
              <w:t>1.17 (LLS)</w:t>
            </w:r>
          </w:p>
        </w:tc>
        <w:tc>
          <w:tcPr>
            <w:tcW w:w="1980" w:type="dxa"/>
            <w:tcBorders/>
          </w:tcPr>
          <w:p>
            <w:pPr>
              <w:pStyle w:val="Normal"/>
              <w:jc w:val="both"/>
              <w:rPr>
                <w:color w:val="000000"/>
                <w:sz w:val="22"/>
                <w:szCs w:val="22"/>
              </w:rPr>
            </w:pPr>
            <w:r>
              <w:rPr>
                <w:color w:val="000000"/>
                <w:sz w:val="22"/>
                <w:szCs w:val="22"/>
              </w:rPr>
              <w:t>0.40 (Bonny Lt)</w:t>
            </w:r>
          </w:p>
        </w:tc>
        <w:tc>
          <w:tcPr>
            <w:tcW w:w="3888" w:type="dxa"/>
            <w:tcBorders/>
          </w:tcPr>
          <w:p>
            <w:pPr>
              <w:pStyle w:val="Normal"/>
              <w:jc w:val="both"/>
              <w:rPr>
                <w:color w:val="000000"/>
                <w:sz w:val="22"/>
                <w:szCs w:val="22"/>
              </w:rPr>
            </w:pPr>
            <w:r>
              <w:rPr>
                <w:color w:val="000000"/>
                <w:sz w:val="22"/>
                <w:szCs w:val="22"/>
              </w:rPr>
              <w:t>Margins fall hard on sweet imports</w:t>
            </w:r>
          </w:p>
        </w:tc>
      </w:tr>
      <w:tr>
        <w:trPr/>
        <w:tc>
          <w:tcPr>
            <w:tcW w:w="2898" w:type="dxa"/>
            <w:tcBorders/>
          </w:tcPr>
          <w:p>
            <w:pPr>
              <w:pStyle w:val="Normal"/>
              <w:jc w:val="both"/>
              <w:rPr>
                <w:color w:val="000000"/>
                <w:sz w:val="22"/>
                <w:szCs w:val="22"/>
              </w:rPr>
            </w:pPr>
            <w:r>
              <w:rPr>
                <w:color w:val="000000"/>
                <w:sz w:val="22"/>
                <w:szCs w:val="22"/>
              </w:rPr>
              <w:t>Mediterranean</w:t>
            </w:r>
          </w:p>
        </w:tc>
        <w:tc>
          <w:tcPr>
            <w:tcW w:w="2250" w:type="dxa"/>
            <w:tcBorders/>
          </w:tcPr>
          <w:p>
            <w:pPr>
              <w:pStyle w:val="Normal"/>
              <w:jc w:val="both"/>
              <w:rPr>
                <w:color w:val="000000"/>
                <w:sz w:val="22"/>
                <w:szCs w:val="22"/>
              </w:rPr>
            </w:pPr>
            <w:r>
              <w:rPr>
                <w:color w:val="000000"/>
                <w:sz w:val="22"/>
                <w:szCs w:val="22"/>
              </w:rPr>
              <w:t>-1.83 (Urals)</w:t>
            </w:r>
          </w:p>
        </w:tc>
        <w:tc>
          <w:tcPr>
            <w:tcW w:w="1980" w:type="dxa"/>
            <w:tcBorders/>
          </w:tcPr>
          <w:p>
            <w:pPr>
              <w:pStyle w:val="Normal"/>
              <w:jc w:val="both"/>
              <w:rPr>
                <w:color w:val="000000"/>
                <w:sz w:val="22"/>
                <w:szCs w:val="22"/>
              </w:rPr>
            </w:pPr>
            <w:r>
              <w:rPr>
                <w:color w:val="000000"/>
                <w:sz w:val="22"/>
                <w:szCs w:val="22"/>
              </w:rPr>
              <w:t>0.38 (Bonny Lt)</w:t>
            </w:r>
          </w:p>
        </w:tc>
        <w:tc>
          <w:tcPr>
            <w:tcW w:w="3888" w:type="dxa"/>
            <w:tcBorders/>
          </w:tcPr>
          <w:p>
            <w:pPr>
              <w:pStyle w:val="Normal"/>
              <w:jc w:val="both"/>
              <w:rPr>
                <w:color w:val="000000"/>
                <w:sz w:val="22"/>
                <w:szCs w:val="22"/>
              </w:rPr>
            </w:pPr>
            <w:r>
              <w:rPr>
                <w:color w:val="000000"/>
                <w:sz w:val="22"/>
                <w:szCs w:val="22"/>
              </w:rPr>
              <w:t>Margins collapse; products very weak</w:t>
            </w:r>
          </w:p>
        </w:tc>
      </w:tr>
      <w:tr>
        <w:trPr/>
        <w:tc>
          <w:tcPr>
            <w:tcW w:w="2898" w:type="dxa"/>
            <w:tcBorders/>
          </w:tcPr>
          <w:p>
            <w:pPr>
              <w:pStyle w:val="Normal"/>
              <w:jc w:val="both"/>
              <w:rPr>
                <w:color w:val="000000"/>
                <w:sz w:val="22"/>
                <w:szCs w:val="22"/>
              </w:rPr>
            </w:pPr>
            <w:r>
              <w:rPr>
                <w:color w:val="000000"/>
                <w:sz w:val="22"/>
                <w:szCs w:val="22"/>
              </w:rPr>
              <w:t xml:space="preserve">Rotterdam </w:t>
            </w:r>
          </w:p>
        </w:tc>
        <w:tc>
          <w:tcPr>
            <w:tcW w:w="2250" w:type="dxa"/>
            <w:tcBorders/>
          </w:tcPr>
          <w:p>
            <w:pPr>
              <w:pStyle w:val="Normal"/>
              <w:jc w:val="both"/>
              <w:rPr>
                <w:color w:val="000000"/>
                <w:sz w:val="22"/>
                <w:szCs w:val="22"/>
              </w:rPr>
            </w:pPr>
            <w:r>
              <w:rPr>
                <w:color w:val="000000"/>
                <w:sz w:val="22"/>
                <w:szCs w:val="22"/>
              </w:rPr>
              <w:t>0.04 (Brent)</w:t>
            </w:r>
          </w:p>
        </w:tc>
        <w:tc>
          <w:tcPr>
            <w:tcW w:w="1980" w:type="dxa"/>
            <w:tcBorders/>
          </w:tcPr>
          <w:p>
            <w:pPr>
              <w:pStyle w:val="Normal"/>
              <w:jc w:val="both"/>
              <w:rPr>
                <w:color w:val="000000"/>
                <w:sz w:val="22"/>
                <w:szCs w:val="22"/>
              </w:rPr>
            </w:pPr>
            <w:r>
              <w:rPr>
                <w:color w:val="000000"/>
                <w:sz w:val="22"/>
                <w:szCs w:val="22"/>
              </w:rPr>
              <w:t>-0.62 (Bonny Lt)</w:t>
            </w:r>
          </w:p>
        </w:tc>
        <w:tc>
          <w:tcPr>
            <w:tcW w:w="3888" w:type="dxa"/>
            <w:tcBorders/>
          </w:tcPr>
          <w:p>
            <w:pPr>
              <w:pStyle w:val="Normal"/>
              <w:jc w:val="both"/>
              <w:rPr>
                <w:color w:val="000000"/>
                <w:sz w:val="22"/>
                <w:szCs w:val="22"/>
              </w:rPr>
            </w:pPr>
            <w:r>
              <w:rPr>
                <w:color w:val="000000"/>
                <w:sz w:val="22"/>
                <w:szCs w:val="22"/>
              </w:rPr>
              <w:t>Margins collapse; products very weak</w:t>
            </w:r>
          </w:p>
        </w:tc>
      </w:tr>
      <w:tr>
        <w:trPr/>
        <w:tc>
          <w:tcPr>
            <w:tcW w:w="2898" w:type="dxa"/>
            <w:tcBorders/>
          </w:tcPr>
          <w:p>
            <w:pPr>
              <w:pStyle w:val="Normal"/>
              <w:jc w:val="both"/>
              <w:rPr>
                <w:color w:val="000000"/>
                <w:sz w:val="22"/>
                <w:szCs w:val="22"/>
              </w:rPr>
            </w:pPr>
            <w:r>
              <w:rPr>
                <w:color w:val="000000"/>
                <w:sz w:val="22"/>
                <w:szCs w:val="22"/>
              </w:rPr>
              <w:t>Japan (basis c&amp;f spot market)</w:t>
            </w:r>
          </w:p>
        </w:tc>
        <w:tc>
          <w:tcPr>
            <w:tcW w:w="2250" w:type="dxa"/>
            <w:tcBorders/>
          </w:tcPr>
          <w:p>
            <w:pPr>
              <w:pStyle w:val="Normal"/>
              <w:jc w:val="both"/>
              <w:rPr>
                <w:color w:val="000000"/>
                <w:sz w:val="22"/>
                <w:szCs w:val="22"/>
              </w:rPr>
            </w:pPr>
            <w:r>
              <w:rPr>
                <w:color w:val="000000"/>
                <w:sz w:val="22"/>
                <w:szCs w:val="22"/>
              </w:rPr>
              <w:t>0.11 (Oman)</w:t>
            </w:r>
          </w:p>
        </w:tc>
        <w:tc>
          <w:tcPr>
            <w:tcW w:w="1980" w:type="dxa"/>
            <w:tcBorders/>
          </w:tcPr>
          <w:p>
            <w:pPr>
              <w:pStyle w:val="Normal"/>
              <w:jc w:val="both"/>
              <w:rPr>
                <w:color w:val="000000"/>
                <w:sz w:val="22"/>
                <w:szCs w:val="22"/>
              </w:rPr>
            </w:pPr>
            <w:r>
              <w:rPr>
                <w:color w:val="000000"/>
                <w:sz w:val="22"/>
                <w:szCs w:val="22"/>
              </w:rPr>
              <w:t>-0.79 (Minas)</w:t>
            </w:r>
          </w:p>
        </w:tc>
        <w:tc>
          <w:tcPr>
            <w:tcW w:w="3888" w:type="dxa"/>
            <w:tcBorders/>
          </w:tcPr>
          <w:p>
            <w:pPr>
              <w:pStyle w:val="Normal"/>
              <w:jc w:val="both"/>
              <w:rPr>
                <w:color w:val="000000"/>
                <w:sz w:val="22"/>
                <w:szCs w:val="22"/>
              </w:rPr>
            </w:pPr>
            <w:r>
              <w:rPr>
                <w:color w:val="000000"/>
                <w:sz w:val="22"/>
                <w:szCs w:val="22"/>
              </w:rPr>
              <w:t>Margins fall hard on PG crudes</w:t>
            </w:r>
          </w:p>
        </w:tc>
      </w:tr>
      <w:tr>
        <w:trPr/>
        <w:tc>
          <w:tcPr>
            <w:tcW w:w="2898" w:type="dxa"/>
            <w:tcBorders/>
          </w:tcPr>
          <w:p>
            <w:pPr>
              <w:pStyle w:val="Normal"/>
              <w:jc w:val="both"/>
              <w:rPr>
                <w:color w:val="000000"/>
                <w:sz w:val="22"/>
                <w:szCs w:val="22"/>
              </w:rPr>
            </w:pPr>
            <w:r>
              <w:rPr>
                <w:color w:val="000000"/>
                <w:sz w:val="22"/>
                <w:szCs w:val="22"/>
              </w:rPr>
              <w:t>Singapore</w:t>
            </w:r>
          </w:p>
        </w:tc>
        <w:tc>
          <w:tcPr>
            <w:tcW w:w="2250" w:type="dxa"/>
            <w:tcBorders/>
          </w:tcPr>
          <w:p>
            <w:pPr>
              <w:pStyle w:val="Normal"/>
              <w:jc w:val="both"/>
              <w:rPr>
                <w:color w:val="000000"/>
                <w:sz w:val="22"/>
                <w:szCs w:val="22"/>
              </w:rPr>
            </w:pPr>
            <w:r>
              <w:rPr>
                <w:color w:val="000000"/>
                <w:sz w:val="22"/>
                <w:szCs w:val="22"/>
              </w:rPr>
              <w:t>-1.78 (Tapis)</w:t>
            </w:r>
          </w:p>
        </w:tc>
        <w:tc>
          <w:tcPr>
            <w:tcW w:w="1980" w:type="dxa"/>
            <w:tcBorders/>
          </w:tcPr>
          <w:p>
            <w:pPr>
              <w:pStyle w:val="Normal"/>
              <w:jc w:val="both"/>
              <w:rPr>
                <w:color w:val="000000"/>
                <w:sz w:val="22"/>
                <w:szCs w:val="22"/>
              </w:rPr>
            </w:pPr>
            <w:r>
              <w:rPr>
                <w:color w:val="000000"/>
                <w:sz w:val="22"/>
                <w:szCs w:val="22"/>
              </w:rPr>
              <w:t>-5.12 (Bonny Lt)</w:t>
            </w:r>
          </w:p>
        </w:tc>
        <w:tc>
          <w:tcPr>
            <w:tcW w:w="3888" w:type="dxa"/>
            <w:tcBorders/>
          </w:tcPr>
          <w:p>
            <w:pPr>
              <w:pStyle w:val="Normal"/>
              <w:jc w:val="both"/>
              <w:rPr>
                <w:color w:val="000000"/>
                <w:sz w:val="22"/>
                <w:szCs w:val="22"/>
              </w:rPr>
            </w:pPr>
            <w:r>
              <w:rPr>
                <w:color w:val="000000"/>
                <w:sz w:val="22"/>
                <w:szCs w:val="22"/>
              </w:rPr>
              <w:t xml:space="preserve">Products markets a disaster   </w:t>
            </w:r>
          </w:p>
        </w:tc>
      </w:tr>
    </w:tbl>
    <w:p>
      <w:pPr>
        <w:pStyle w:val="Normal"/>
        <w:jc w:val="both"/>
        <w:rPr>
          <w:color w:val="000000"/>
          <w:sz w:val="24"/>
          <w:szCs w:val="24"/>
        </w:rPr>
      </w:pPr>
      <w:r>
        <w:rPr>
          <w:color w:val="000000"/>
          <w:sz w:val="24"/>
          <w:szCs w:val="24"/>
        </w:rPr>
      </w:r>
      <w:bookmarkStart w:id="27" w:name="APICommb"/>
      <w:bookmarkStart w:id="28" w:name="APICommb"/>
      <w:bookmarkEnd w:id="28"/>
    </w:p>
    <w:p>
      <w:pPr>
        <w:sectPr>
          <w:type w:val="continuous"/>
          <w:pgSz w:w="12240" w:h="15840"/>
          <w:pgMar w:left="720" w:right="720" w:gutter="0" w:header="0" w:top="720" w:footer="965" w:bottom="1021"/>
          <w:formProt w:val="false"/>
          <w:textDirection w:val="lrTb"/>
        </w:sectPr>
      </w:pPr>
    </w:p>
    <w:p>
      <w:pPr>
        <w:pStyle w:val="Normal"/>
        <w:pBdr>
          <w:top w:val="single" w:sz="18" w:space="1" w:color="0000FF"/>
          <w:left w:val="single" w:sz="18" w:space="1" w:color="0000FF"/>
          <w:bottom w:val="single" w:sz="18" w:space="1" w:color="0000FF"/>
          <w:right w:val="single" w:sz="18" w:space="1" w:color="0000FF"/>
        </w:pBdr>
        <w:jc w:val="center"/>
        <w:rPr>
          <w:color w:val="000000"/>
          <w:sz w:val="24"/>
          <w:szCs w:val="24"/>
        </w:rPr>
      </w:pPr>
      <w:r>
        <w:rPr>
          <w:b/>
          <w:bCs/>
          <w:color w:val="0000FF"/>
          <w:sz w:val="24"/>
          <w:szCs w:val="24"/>
        </w:rPr>
        <w:t>ATS Recommended Trades</w:t>
      </w:r>
    </w:p>
    <w:p>
      <w:pPr>
        <w:pStyle w:val="Normal"/>
        <w:jc w:val="both"/>
        <w:rPr>
          <w:color w:val="000000"/>
          <w:sz w:val="24"/>
          <w:szCs w:val="24"/>
        </w:rPr>
      </w:pPr>
      <w:r>
        <w:rPr>
          <w:color w:val="000000"/>
          <w:sz w:val="24"/>
          <w:szCs w:val="24"/>
        </w:rPr>
      </w:r>
    </w:p>
    <w:tbl>
      <w:tblPr>
        <w:tblW w:w="11071" w:type="dxa"/>
        <w:jc w:val="start"/>
        <w:tblInd w:w="-72" w:type="dxa"/>
        <w:tblLayout w:type="fixed"/>
        <w:tblCellMar>
          <w:top w:w="0" w:type="dxa"/>
          <w:start w:w="108" w:type="dxa"/>
          <w:bottom w:w="0" w:type="dxa"/>
          <w:end w:w="108" w:type="dxa"/>
        </w:tblCellMar>
      </w:tblPr>
      <w:tblGrid>
        <w:gridCol w:w="3060"/>
        <w:gridCol w:w="1080"/>
        <w:gridCol w:w="1350"/>
        <w:gridCol w:w="1350"/>
        <w:gridCol w:w="1170"/>
        <w:gridCol w:w="1360"/>
        <w:gridCol w:w="1701"/>
      </w:tblGrid>
      <w:tr>
        <w:trPr>
          <w:trHeight w:val="200" w:hRule="atLeast"/>
        </w:trPr>
        <w:tc>
          <w:tcPr>
            <w:tcW w:w="3060" w:type="dxa"/>
            <w:tcBorders>
              <w:top w:val="single" w:sz="6" w:space="0" w:color="000000"/>
              <w:start w:val="single" w:sz="6" w:space="0" w:color="000000"/>
            </w:tcBorders>
          </w:tcPr>
          <w:p>
            <w:pPr>
              <w:pStyle w:val="Normal"/>
              <w:tabs>
                <w:tab w:val="clear" w:pos="720"/>
                <w:tab w:val="left" w:pos="2970" w:leader="none"/>
              </w:tabs>
              <w:rPr>
                <w:sz w:val="18"/>
                <w:szCs w:val="18"/>
              </w:rPr>
            </w:pPr>
            <w:bookmarkStart w:id="29" w:name="PhysProdArbStart"/>
            <w:bookmarkEnd w:id="29"/>
            <w:r>
              <w:rPr>
                <w:b/>
                <w:bCs/>
                <w:sz w:val="18"/>
                <w:szCs w:val="18"/>
              </w:rPr>
              <w:t>PRODUCTS PHYSICAL MOVEMENT WITH FREIGHT AND OTHER COSTS: $/Ton</w:t>
              <w:tab/>
            </w:r>
          </w:p>
        </w:tc>
        <w:tc>
          <w:tcPr>
            <w:tcW w:w="1080" w:type="dxa"/>
            <w:tcBorders>
              <w:top w:val="single" w:sz="6" w:space="0" w:color="000000"/>
            </w:tcBorders>
          </w:tcPr>
          <w:p>
            <w:pPr>
              <w:pStyle w:val="Normal"/>
              <w:tabs>
                <w:tab w:val="clear" w:pos="720"/>
                <w:tab w:val="left" w:pos="2970" w:leader="none"/>
              </w:tabs>
              <w:rPr>
                <w:b/>
                <w:bCs/>
              </w:rPr>
            </w:pPr>
            <w:r>
              <w:rPr>
                <w:b/>
                <w:bCs/>
              </w:rPr>
              <w:t>Rec.</w:t>
            </w:r>
          </w:p>
        </w:tc>
        <w:tc>
          <w:tcPr>
            <w:tcW w:w="1350" w:type="dxa"/>
            <w:tcBorders>
              <w:top w:val="single" w:sz="6" w:space="0" w:color="000000"/>
            </w:tcBorders>
          </w:tcPr>
          <w:p>
            <w:pPr>
              <w:pStyle w:val="Normal"/>
              <w:tabs>
                <w:tab w:val="clear" w:pos="720"/>
                <w:tab w:val="left" w:pos="2970" w:leader="none"/>
              </w:tabs>
              <w:rPr>
                <w:b/>
                <w:bCs/>
              </w:rPr>
            </w:pPr>
            <w:r>
              <w:rPr>
                <w:b/>
                <w:bCs/>
              </w:rPr>
              <w:t>Buy</w:t>
            </w:r>
          </w:p>
          <w:p>
            <w:pPr>
              <w:pStyle w:val="Normal"/>
              <w:tabs>
                <w:tab w:val="clear" w:pos="720"/>
                <w:tab w:val="left" w:pos="2970" w:leader="none"/>
              </w:tabs>
              <w:rPr>
                <w:b/>
                <w:bCs/>
              </w:rPr>
            </w:pPr>
            <w:r>
              <w:rPr>
                <w:b/>
                <w:bCs/>
              </w:rPr>
            </w:r>
          </w:p>
          <w:p>
            <w:pPr>
              <w:pStyle w:val="Normal"/>
              <w:tabs>
                <w:tab w:val="clear" w:pos="720"/>
                <w:tab w:val="left" w:pos="2970" w:leader="none"/>
              </w:tabs>
              <w:rPr>
                <w:b/>
                <w:bCs/>
              </w:rPr>
            </w:pPr>
            <w:r>
              <w:rPr>
                <w:b/>
                <w:bCs/>
              </w:rPr>
            </w:r>
          </w:p>
        </w:tc>
        <w:tc>
          <w:tcPr>
            <w:tcW w:w="1350" w:type="dxa"/>
            <w:tcBorders>
              <w:top w:val="single" w:sz="6" w:space="0" w:color="000000"/>
            </w:tcBorders>
          </w:tcPr>
          <w:p>
            <w:pPr>
              <w:pStyle w:val="Normal"/>
              <w:tabs>
                <w:tab w:val="clear" w:pos="720"/>
                <w:tab w:val="left" w:pos="2970" w:leader="none"/>
              </w:tabs>
              <w:rPr>
                <w:b/>
                <w:bCs/>
              </w:rPr>
            </w:pPr>
            <w:r>
              <w:rPr>
                <w:b/>
                <w:bCs/>
              </w:rPr>
              <w:t>Sell</w:t>
            </w:r>
          </w:p>
        </w:tc>
        <w:tc>
          <w:tcPr>
            <w:tcW w:w="1170" w:type="dxa"/>
            <w:tcBorders>
              <w:top w:val="single" w:sz="6" w:space="0" w:color="000000"/>
            </w:tcBorders>
          </w:tcPr>
          <w:p>
            <w:pPr>
              <w:pStyle w:val="Normal"/>
              <w:tabs>
                <w:tab w:val="clear" w:pos="720"/>
                <w:tab w:val="decimal" w:pos="252" w:leader="none"/>
                <w:tab w:val="left" w:pos="2970" w:leader="none"/>
              </w:tabs>
              <w:rPr>
                <w:b/>
                <w:bCs/>
              </w:rPr>
            </w:pPr>
            <w:r>
              <w:rPr>
                <w:b/>
                <w:bCs/>
              </w:rPr>
              <w:t>First</w:t>
            </w:r>
          </w:p>
        </w:tc>
        <w:tc>
          <w:tcPr>
            <w:tcW w:w="1360" w:type="dxa"/>
            <w:tcBorders>
              <w:top w:val="single" w:sz="6" w:space="0" w:color="000000"/>
            </w:tcBorders>
          </w:tcPr>
          <w:p>
            <w:pPr>
              <w:pStyle w:val="Normal"/>
              <w:tabs>
                <w:tab w:val="clear" w:pos="720"/>
                <w:tab w:val="decimal" w:pos="252" w:leader="none"/>
                <w:tab w:val="left" w:pos="2970" w:leader="none"/>
              </w:tabs>
              <w:rPr>
                <w:b/>
                <w:bCs/>
              </w:rPr>
            </w:pPr>
            <w:r>
              <w:rPr>
                <w:b/>
                <w:bCs/>
              </w:rPr>
              <w:t>Yesterday</w:t>
            </w:r>
          </w:p>
        </w:tc>
        <w:tc>
          <w:tcPr>
            <w:tcW w:w="1701" w:type="dxa"/>
            <w:tcBorders>
              <w:top w:val="single" w:sz="6" w:space="0" w:color="000000"/>
              <w:end w:val="single" w:sz="6" w:space="0" w:color="000000"/>
            </w:tcBorders>
          </w:tcPr>
          <w:p>
            <w:pPr>
              <w:pStyle w:val="Normal"/>
              <w:tabs>
                <w:tab w:val="clear" w:pos="720"/>
                <w:tab w:val="decimal" w:pos="540" w:leader="none"/>
                <w:tab w:val="left" w:pos="2970" w:leader="none"/>
              </w:tabs>
              <w:rPr>
                <w:b/>
                <w:bCs/>
              </w:rPr>
            </w:pPr>
            <w:r>
              <w:rPr>
                <w:b/>
                <w:bCs/>
              </w:rPr>
              <w:t>Today</w:t>
            </w:r>
          </w:p>
        </w:tc>
      </w:tr>
      <w:tr>
        <w:trPr>
          <w:trHeight w:val="200" w:hRule="atLeast"/>
        </w:trPr>
        <w:tc>
          <w:tcPr>
            <w:tcW w:w="3060" w:type="dxa"/>
            <w:tcBorders>
              <w:start w:val="single" w:sz="6" w:space="0" w:color="000000"/>
            </w:tcBorders>
          </w:tcPr>
          <w:p>
            <w:pPr>
              <w:pStyle w:val="Normal"/>
              <w:tabs>
                <w:tab w:val="clear" w:pos="720"/>
                <w:tab w:val="left" w:pos="2970" w:leader="none"/>
              </w:tabs>
              <w:rPr>
                <w:i/>
                <w:i/>
                <w:iCs/>
                <w:color w:val="008000"/>
              </w:rPr>
            </w:pPr>
            <w:r>
              <w:rPr>
                <w:i/>
                <w:iCs/>
                <w:color w:val="008000"/>
              </w:rPr>
              <w:t>Trades Added Today</w:t>
            </w:r>
          </w:p>
        </w:tc>
        <w:tc>
          <w:tcPr>
            <w:tcW w:w="1080" w:type="dxa"/>
            <w:tcBorders/>
          </w:tcPr>
          <w:p>
            <w:pPr>
              <w:pStyle w:val="Normal"/>
              <w:tabs>
                <w:tab w:val="clear" w:pos="720"/>
                <w:tab w:val="left" w:pos="2970" w:leader="none"/>
              </w:tabs>
              <w:snapToGrid w:val="false"/>
              <w:rPr>
                <w:i/>
                <w:i/>
                <w:iCs/>
                <w:color w:val="008000"/>
              </w:rPr>
            </w:pPr>
            <w:r>
              <w:rPr>
                <w:i/>
                <w:iCs/>
                <w:color w:val="008000"/>
              </w:rPr>
            </w:r>
          </w:p>
        </w:tc>
        <w:tc>
          <w:tcPr>
            <w:tcW w:w="1350" w:type="dxa"/>
            <w:tcBorders/>
          </w:tcPr>
          <w:p>
            <w:pPr>
              <w:pStyle w:val="Normal"/>
              <w:tabs>
                <w:tab w:val="clear" w:pos="720"/>
                <w:tab w:val="left" w:pos="2970" w:leader="none"/>
              </w:tabs>
              <w:snapToGrid w:val="false"/>
              <w:rPr>
                <w:i/>
                <w:i/>
                <w:iCs/>
                <w:color w:val="008000"/>
              </w:rPr>
            </w:pPr>
            <w:r>
              <w:rPr>
                <w:i/>
                <w:iCs/>
                <w:color w:val="008000"/>
              </w:rPr>
            </w:r>
          </w:p>
        </w:tc>
        <w:tc>
          <w:tcPr>
            <w:tcW w:w="1350" w:type="dxa"/>
            <w:tcBorders/>
          </w:tcPr>
          <w:p>
            <w:pPr>
              <w:pStyle w:val="Normal"/>
              <w:tabs>
                <w:tab w:val="clear" w:pos="720"/>
                <w:tab w:val="left" w:pos="2970" w:leader="none"/>
              </w:tabs>
              <w:snapToGrid w:val="false"/>
              <w:rPr>
                <w:i/>
                <w:i/>
                <w:iCs/>
                <w:color w:val="008000"/>
              </w:rPr>
            </w:pPr>
            <w:r>
              <w:rPr>
                <w:i/>
                <w:iCs/>
                <w:color w:val="008000"/>
              </w:rPr>
            </w:r>
          </w:p>
        </w:tc>
        <w:tc>
          <w:tcPr>
            <w:tcW w:w="1170" w:type="dxa"/>
            <w:tcBorders/>
          </w:tcPr>
          <w:p>
            <w:pPr>
              <w:pStyle w:val="Normal"/>
              <w:tabs>
                <w:tab w:val="clear" w:pos="720"/>
                <w:tab w:val="left" w:pos="2970" w:leader="none"/>
              </w:tabs>
              <w:snapToGrid w:val="false"/>
              <w:jc w:val="center"/>
              <w:rPr>
                <w:i/>
                <w:i/>
                <w:iCs/>
                <w:color w:val="008000"/>
              </w:rPr>
            </w:pPr>
            <w:r>
              <w:rPr>
                <w:i/>
                <w:iCs/>
                <w:color w:val="008000"/>
              </w:rPr>
            </w:r>
          </w:p>
        </w:tc>
        <w:tc>
          <w:tcPr>
            <w:tcW w:w="1360" w:type="dxa"/>
            <w:tcBorders/>
          </w:tcPr>
          <w:p>
            <w:pPr>
              <w:pStyle w:val="Normal"/>
              <w:tabs>
                <w:tab w:val="clear" w:pos="720"/>
                <w:tab w:val="left" w:pos="2970" w:leader="none"/>
              </w:tabs>
              <w:snapToGrid w:val="false"/>
              <w:jc w:val="center"/>
              <w:rPr>
                <w:i/>
                <w:i/>
                <w:iCs/>
                <w:color w:val="008000"/>
              </w:rPr>
            </w:pPr>
            <w:r>
              <w:rPr>
                <w:i/>
                <w:iCs/>
                <w:color w:val="008000"/>
              </w:rPr>
            </w:r>
          </w:p>
        </w:tc>
        <w:tc>
          <w:tcPr>
            <w:tcW w:w="1701" w:type="dxa"/>
            <w:tcBorders>
              <w:end w:val="single" w:sz="6" w:space="0" w:color="000000"/>
            </w:tcBorders>
          </w:tcPr>
          <w:p>
            <w:pPr>
              <w:pStyle w:val="Normal"/>
              <w:tabs>
                <w:tab w:val="clear" w:pos="720"/>
                <w:tab w:val="left" w:pos="2970" w:leader="none"/>
              </w:tabs>
              <w:snapToGrid w:val="false"/>
              <w:jc w:val="center"/>
              <w:rPr>
                <w:i/>
                <w:i/>
                <w:iCs/>
                <w:color w:val="008000"/>
              </w:rPr>
            </w:pPr>
            <w:r>
              <w:rPr>
                <w:i/>
                <w:iCs/>
                <w:color w:val="008000"/>
              </w:rPr>
            </w:r>
          </w:p>
        </w:tc>
      </w:tr>
      <w:tr>
        <w:trPr>
          <w:trHeight w:val="200" w:hRule="atLeast"/>
        </w:trPr>
        <w:tc>
          <w:tcPr>
            <w:tcW w:w="3060" w:type="dxa"/>
            <w:tcBorders>
              <w:start w:val="single" w:sz="6" w:space="0" w:color="000000"/>
            </w:tcBorders>
          </w:tcPr>
          <w:p>
            <w:pPr>
              <w:pStyle w:val="Normal"/>
              <w:tabs>
                <w:tab w:val="clear" w:pos="720"/>
                <w:tab w:val="left" w:pos="2970" w:leader="none"/>
              </w:tabs>
              <w:rPr>
                <w:i/>
                <w:i/>
                <w:iCs/>
                <w:color w:val="008000"/>
              </w:rPr>
            </w:pPr>
            <w:r>
              <w:rPr>
                <w:i/>
                <w:iCs/>
                <w:color w:val="008000"/>
              </w:rPr>
              <w:t>None</w:t>
            </w:r>
          </w:p>
        </w:tc>
        <w:tc>
          <w:tcPr>
            <w:tcW w:w="1080" w:type="dxa"/>
            <w:tcBorders/>
          </w:tcPr>
          <w:p>
            <w:pPr>
              <w:pStyle w:val="Normal"/>
              <w:tabs>
                <w:tab w:val="clear" w:pos="720"/>
                <w:tab w:val="left" w:pos="2970" w:leader="none"/>
              </w:tabs>
              <w:snapToGrid w:val="false"/>
              <w:rPr>
                <w:i/>
                <w:i/>
                <w:iCs/>
                <w:color w:val="008000"/>
              </w:rPr>
            </w:pPr>
            <w:r>
              <w:rPr>
                <w:i/>
                <w:iCs/>
                <w:color w:val="008000"/>
              </w:rPr>
            </w:r>
          </w:p>
        </w:tc>
        <w:tc>
          <w:tcPr>
            <w:tcW w:w="1350" w:type="dxa"/>
            <w:tcBorders/>
          </w:tcPr>
          <w:p>
            <w:pPr>
              <w:pStyle w:val="Normal"/>
              <w:tabs>
                <w:tab w:val="clear" w:pos="720"/>
                <w:tab w:val="left" w:pos="2970" w:leader="none"/>
              </w:tabs>
              <w:snapToGrid w:val="false"/>
              <w:rPr>
                <w:i/>
                <w:i/>
                <w:iCs/>
                <w:color w:val="008000"/>
              </w:rPr>
            </w:pPr>
            <w:r>
              <w:rPr>
                <w:i/>
                <w:iCs/>
                <w:color w:val="008000"/>
              </w:rPr>
            </w:r>
          </w:p>
        </w:tc>
        <w:tc>
          <w:tcPr>
            <w:tcW w:w="1350" w:type="dxa"/>
            <w:tcBorders/>
          </w:tcPr>
          <w:p>
            <w:pPr>
              <w:pStyle w:val="Normal"/>
              <w:tabs>
                <w:tab w:val="clear" w:pos="720"/>
                <w:tab w:val="left" w:pos="2970" w:leader="none"/>
              </w:tabs>
              <w:snapToGrid w:val="false"/>
              <w:rPr>
                <w:i/>
                <w:i/>
                <w:iCs/>
                <w:color w:val="008000"/>
              </w:rPr>
            </w:pPr>
            <w:r>
              <w:rPr>
                <w:i/>
                <w:iCs/>
                <w:color w:val="008000"/>
              </w:rPr>
            </w:r>
          </w:p>
        </w:tc>
        <w:tc>
          <w:tcPr>
            <w:tcW w:w="1170" w:type="dxa"/>
            <w:tcBorders/>
          </w:tcPr>
          <w:p>
            <w:pPr>
              <w:pStyle w:val="Normal"/>
              <w:tabs>
                <w:tab w:val="clear" w:pos="720"/>
                <w:tab w:val="left" w:pos="2970" w:leader="none"/>
              </w:tabs>
              <w:snapToGrid w:val="false"/>
              <w:jc w:val="center"/>
              <w:rPr>
                <w:i/>
                <w:i/>
                <w:iCs/>
                <w:color w:val="008000"/>
              </w:rPr>
            </w:pPr>
            <w:r>
              <w:rPr>
                <w:i/>
                <w:iCs/>
                <w:color w:val="008000"/>
              </w:rPr>
            </w:r>
          </w:p>
        </w:tc>
        <w:tc>
          <w:tcPr>
            <w:tcW w:w="1360" w:type="dxa"/>
            <w:tcBorders/>
          </w:tcPr>
          <w:p>
            <w:pPr>
              <w:pStyle w:val="Normal"/>
              <w:tabs>
                <w:tab w:val="clear" w:pos="720"/>
                <w:tab w:val="left" w:pos="2970" w:leader="none"/>
              </w:tabs>
              <w:snapToGrid w:val="false"/>
              <w:jc w:val="center"/>
              <w:rPr>
                <w:i/>
                <w:i/>
                <w:iCs/>
                <w:color w:val="008000"/>
              </w:rPr>
            </w:pPr>
            <w:r>
              <w:rPr>
                <w:i/>
                <w:iCs/>
                <w:color w:val="008000"/>
              </w:rPr>
            </w:r>
          </w:p>
        </w:tc>
        <w:tc>
          <w:tcPr>
            <w:tcW w:w="1701" w:type="dxa"/>
            <w:tcBorders>
              <w:end w:val="single" w:sz="6" w:space="0" w:color="000000"/>
            </w:tcBorders>
          </w:tcPr>
          <w:p>
            <w:pPr>
              <w:pStyle w:val="Normal"/>
              <w:tabs>
                <w:tab w:val="clear" w:pos="720"/>
                <w:tab w:val="left" w:pos="2970" w:leader="none"/>
              </w:tabs>
              <w:snapToGrid w:val="false"/>
              <w:jc w:val="center"/>
              <w:rPr>
                <w:i/>
                <w:i/>
                <w:iCs/>
                <w:color w:val="008000"/>
              </w:rPr>
            </w:pPr>
            <w:r>
              <w:rPr>
                <w:i/>
                <w:iCs/>
                <w:color w:val="008000"/>
              </w:rPr>
            </w:r>
          </w:p>
        </w:tc>
      </w:tr>
      <w:tr>
        <w:trPr>
          <w:trHeight w:val="200" w:hRule="atLeast"/>
        </w:trPr>
        <w:tc>
          <w:tcPr>
            <w:tcW w:w="3060" w:type="dxa"/>
            <w:tcBorders>
              <w:start w:val="single" w:sz="6" w:space="0" w:color="000000"/>
            </w:tcBorders>
          </w:tcPr>
          <w:p>
            <w:pPr>
              <w:pStyle w:val="Normal"/>
              <w:rPr>
                <w:i/>
                <w:i/>
                <w:iCs/>
                <w:color w:val="000000"/>
              </w:rPr>
            </w:pPr>
            <w:r>
              <w:rPr>
                <w:i/>
                <w:iCs/>
                <w:color w:val="000000"/>
              </w:rPr>
              <w:t>Previous Recommendations</w:t>
            </w:r>
          </w:p>
        </w:tc>
        <w:tc>
          <w:tcPr>
            <w:tcW w:w="1080" w:type="dxa"/>
            <w:tcBorders/>
          </w:tcPr>
          <w:p>
            <w:pPr>
              <w:pStyle w:val="Normal"/>
              <w:snapToGrid w:val="false"/>
              <w:rPr/>
            </w:pPr>
            <w:r>
              <w:rPr/>
            </w:r>
          </w:p>
        </w:tc>
        <w:tc>
          <w:tcPr>
            <w:tcW w:w="1350" w:type="dxa"/>
            <w:tcBorders/>
          </w:tcPr>
          <w:p>
            <w:pPr>
              <w:pStyle w:val="Normal"/>
              <w:snapToGrid w:val="false"/>
              <w:rPr/>
            </w:pPr>
            <w:r>
              <w:rPr/>
            </w:r>
          </w:p>
        </w:tc>
        <w:tc>
          <w:tcPr>
            <w:tcW w:w="1350" w:type="dxa"/>
            <w:tcBorders/>
          </w:tcPr>
          <w:p>
            <w:pPr>
              <w:pStyle w:val="Normal"/>
              <w:snapToGrid w:val="false"/>
              <w:rPr/>
            </w:pPr>
            <w:r>
              <w:rPr/>
            </w:r>
          </w:p>
        </w:tc>
        <w:tc>
          <w:tcPr>
            <w:tcW w:w="1170" w:type="dxa"/>
            <w:tcBorders/>
          </w:tcPr>
          <w:p>
            <w:pPr>
              <w:pStyle w:val="Normal"/>
              <w:snapToGrid w:val="false"/>
              <w:rPr/>
            </w:pPr>
            <w:r>
              <w:rPr/>
            </w:r>
          </w:p>
        </w:tc>
        <w:tc>
          <w:tcPr>
            <w:tcW w:w="1360" w:type="dxa"/>
            <w:tcBorders/>
          </w:tcPr>
          <w:p>
            <w:pPr>
              <w:pStyle w:val="Normal"/>
              <w:snapToGrid w:val="false"/>
              <w:rPr/>
            </w:pPr>
            <w:r>
              <w:rPr/>
            </w:r>
          </w:p>
        </w:tc>
        <w:tc>
          <w:tcPr>
            <w:tcW w:w="1701" w:type="dxa"/>
            <w:tcBorders>
              <w:end w:val="single" w:sz="6" w:space="0" w:color="000000"/>
            </w:tcBorders>
          </w:tcPr>
          <w:p>
            <w:pPr>
              <w:pStyle w:val="Normal"/>
              <w:snapToGrid w:val="false"/>
              <w:rPr/>
            </w:pPr>
            <w:r>
              <w:rPr/>
            </w:r>
          </w:p>
        </w:tc>
      </w:tr>
      <w:tr>
        <w:trPr>
          <w:trHeight w:val="200" w:hRule="atLeast"/>
        </w:trPr>
        <w:tc>
          <w:tcPr>
            <w:tcW w:w="3060" w:type="dxa"/>
            <w:tcBorders>
              <w:start w:val="single" w:sz="6" w:space="0" w:color="000000"/>
            </w:tcBorders>
          </w:tcPr>
          <w:p>
            <w:pPr>
              <w:pStyle w:val="Normal"/>
              <w:tabs>
                <w:tab w:val="clear" w:pos="720"/>
                <w:tab w:val="left" w:pos="2970" w:leader="none"/>
              </w:tabs>
              <w:rPr>
                <w:i/>
                <w:i/>
                <w:iCs/>
                <w:color w:val="000000"/>
              </w:rPr>
            </w:pPr>
            <w:r>
              <w:rPr>
                <w:i/>
                <w:iCs/>
                <w:color w:val="000000"/>
              </w:rPr>
              <w:t>HSFO hvy</w:t>
            </w:r>
          </w:p>
        </w:tc>
        <w:tc>
          <w:tcPr>
            <w:tcW w:w="1080" w:type="dxa"/>
            <w:tcBorders/>
          </w:tcPr>
          <w:p>
            <w:pPr>
              <w:pStyle w:val="Normal"/>
              <w:tabs>
                <w:tab w:val="clear" w:pos="720"/>
                <w:tab w:val="left" w:pos="2970" w:leader="none"/>
              </w:tabs>
              <w:rPr>
                <w:i/>
                <w:i/>
                <w:iCs/>
                <w:color w:val="000000"/>
              </w:rPr>
            </w:pPr>
            <w:r>
              <w:rPr>
                <w:i/>
                <w:iCs/>
                <w:color w:val="000000"/>
              </w:rPr>
              <w:t>Feb 23</w:t>
            </w:r>
          </w:p>
        </w:tc>
        <w:tc>
          <w:tcPr>
            <w:tcW w:w="1350" w:type="dxa"/>
            <w:tcBorders/>
          </w:tcPr>
          <w:p>
            <w:pPr>
              <w:pStyle w:val="Normal"/>
              <w:tabs>
                <w:tab w:val="clear" w:pos="720"/>
                <w:tab w:val="left" w:pos="2970" w:leader="none"/>
              </w:tabs>
              <w:rPr>
                <w:i/>
                <w:i/>
                <w:iCs/>
                <w:color w:val="000000"/>
              </w:rPr>
            </w:pPr>
            <w:r>
              <w:rPr>
                <w:i/>
                <w:iCs/>
                <w:color w:val="000000"/>
              </w:rPr>
              <w:t>AG</w:t>
            </w:r>
          </w:p>
        </w:tc>
        <w:tc>
          <w:tcPr>
            <w:tcW w:w="1350" w:type="dxa"/>
            <w:tcBorders/>
          </w:tcPr>
          <w:p>
            <w:pPr>
              <w:pStyle w:val="Normal"/>
              <w:tabs>
                <w:tab w:val="clear" w:pos="720"/>
                <w:tab w:val="left" w:pos="2970" w:leader="none"/>
              </w:tabs>
              <w:rPr>
                <w:i/>
                <w:i/>
                <w:iCs/>
                <w:color w:val="000000"/>
              </w:rPr>
            </w:pPr>
            <w:r>
              <w:rPr>
                <w:i/>
                <w:iCs/>
                <w:color w:val="000000"/>
              </w:rPr>
              <w:t>Japan</w:t>
            </w:r>
          </w:p>
        </w:tc>
        <w:tc>
          <w:tcPr>
            <w:tcW w:w="1170" w:type="dxa"/>
            <w:tcBorders/>
          </w:tcPr>
          <w:p>
            <w:pPr>
              <w:pStyle w:val="Normal"/>
              <w:tabs>
                <w:tab w:val="clear" w:pos="720"/>
                <w:tab w:val="left" w:pos="2970" w:leader="none"/>
              </w:tabs>
              <w:jc w:val="center"/>
              <w:rPr>
                <w:i/>
                <w:i/>
                <w:iCs/>
                <w:color w:val="000000"/>
              </w:rPr>
            </w:pPr>
            <w:r>
              <w:rPr>
                <w:i/>
                <w:iCs/>
                <w:color w:val="000000"/>
              </w:rPr>
              <w:t>5.54</w:t>
            </w:r>
          </w:p>
        </w:tc>
        <w:tc>
          <w:tcPr>
            <w:tcW w:w="1360" w:type="dxa"/>
            <w:tcBorders/>
          </w:tcPr>
          <w:p>
            <w:pPr>
              <w:pStyle w:val="Normal"/>
              <w:jc w:val="center"/>
              <w:rPr/>
            </w:pPr>
            <w:r>
              <w:rPr/>
              <w:t>10.37</w:t>
            </w:r>
          </w:p>
        </w:tc>
        <w:tc>
          <w:tcPr>
            <w:tcW w:w="1701" w:type="dxa"/>
            <w:tcBorders>
              <w:end w:val="single" w:sz="6" w:space="0" w:color="000000"/>
            </w:tcBorders>
          </w:tcPr>
          <w:p>
            <w:pPr>
              <w:pStyle w:val="Normal"/>
              <w:jc w:val="center"/>
              <w:rPr/>
            </w:pPr>
            <w:r>
              <w:rPr/>
              <w:t>10.38</w:t>
            </w:r>
          </w:p>
        </w:tc>
      </w:tr>
      <w:tr>
        <w:trPr>
          <w:trHeight w:val="200" w:hRule="atLeast"/>
        </w:trPr>
        <w:tc>
          <w:tcPr>
            <w:tcW w:w="3060" w:type="dxa"/>
            <w:tcBorders>
              <w:start w:val="single" w:sz="6" w:space="0" w:color="000000"/>
            </w:tcBorders>
          </w:tcPr>
          <w:p>
            <w:pPr>
              <w:pStyle w:val="Normal"/>
              <w:tabs>
                <w:tab w:val="clear" w:pos="720"/>
                <w:tab w:val="left" w:pos="2970" w:leader="none"/>
              </w:tabs>
              <w:rPr>
                <w:i/>
                <w:i/>
                <w:iCs/>
                <w:color w:val="000000"/>
              </w:rPr>
            </w:pPr>
            <w:r>
              <w:rPr>
                <w:i/>
                <w:iCs/>
                <w:color w:val="000000"/>
              </w:rPr>
              <w:t>Reg Unl Gas</w:t>
            </w:r>
          </w:p>
        </w:tc>
        <w:tc>
          <w:tcPr>
            <w:tcW w:w="1080" w:type="dxa"/>
            <w:tcBorders/>
          </w:tcPr>
          <w:p>
            <w:pPr>
              <w:pStyle w:val="Normal"/>
              <w:tabs>
                <w:tab w:val="clear" w:pos="720"/>
                <w:tab w:val="left" w:pos="2970" w:leader="none"/>
              </w:tabs>
              <w:rPr>
                <w:i/>
                <w:i/>
                <w:iCs/>
                <w:color w:val="000000"/>
              </w:rPr>
            </w:pPr>
            <w:r>
              <w:rPr>
                <w:i/>
                <w:iCs/>
                <w:color w:val="000000"/>
              </w:rPr>
              <w:t>Jul 10</w:t>
            </w:r>
          </w:p>
        </w:tc>
        <w:tc>
          <w:tcPr>
            <w:tcW w:w="1350" w:type="dxa"/>
            <w:tcBorders/>
          </w:tcPr>
          <w:p>
            <w:pPr>
              <w:pStyle w:val="Normal"/>
              <w:tabs>
                <w:tab w:val="clear" w:pos="720"/>
                <w:tab w:val="left" w:pos="2970" w:leader="none"/>
              </w:tabs>
              <w:rPr>
                <w:i/>
                <w:i/>
                <w:iCs/>
                <w:color w:val="000000"/>
              </w:rPr>
            </w:pPr>
            <w:r>
              <w:rPr>
                <w:i/>
                <w:iCs/>
                <w:color w:val="000000"/>
              </w:rPr>
              <w:t>USGC</w:t>
            </w:r>
          </w:p>
        </w:tc>
        <w:tc>
          <w:tcPr>
            <w:tcW w:w="1350" w:type="dxa"/>
            <w:tcBorders/>
          </w:tcPr>
          <w:p>
            <w:pPr>
              <w:pStyle w:val="Normal"/>
              <w:tabs>
                <w:tab w:val="clear" w:pos="720"/>
                <w:tab w:val="left" w:pos="2970" w:leader="none"/>
              </w:tabs>
              <w:rPr>
                <w:i/>
                <w:i/>
                <w:iCs/>
                <w:color w:val="000000"/>
              </w:rPr>
            </w:pPr>
            <w:r>
              <w:rPr>
                <w:i/>
                <w:iCs/>
                <w:color w:val="000000"/>
              </w:rPr>
              <w:t>SF</w:t>
            </w:r>
          </w:p>
        </w:tc>
        <w:tc>
          <w:tcPr>
            <w:tcW w:w="1170" w:type="dxa"/>
            <w:tcBorders/>
          </w:tcPr>
          <w:p>
            <w:pPr>
              <w:pStyle w:val="Normal"/>
              <w:tabs>
                <w:tab w:val="clear" w:pos="720"/>
                <w:tab w:val="left" w:pos="2970" w:leader="none"/>
              </w:tabs>
              <w:jc w:val="center"/>
              <w:rPr>
                <w:i/>
                <w:i/>
                <w:iCs/>
                <w:color w:val="000000"/>
              </w:rPr>
            </w:pPr>
            <w:r>
              <w:rPr>
                <w:i/>
                <w:iCs/>
                <w:color w:val="000000"/>
              </w:rPr>
              <w:t>64.39</w:t>
            </w:r>
          </w:p>
        </w:tc>
        <w:tc>
          <w:tcPr>
            <w:tcW w:w="1360" w:type="dxa"/>
            <w:tcBorders/>
          </w:tcPr>
          <w:p>
            <w:pPr>
              <w:pStyle w:val="Normal"/>
              <w:tabs>
                <w:tab w:val="clear" w:pos="720"/>
                <w:tab w:val="left" w:pos="2970" w:leader="none"/>
              </w:tabs>
              <w:jc w:val="center"/>
              <w:rPr>
                <w:i/>
                <w:i/>
                <w:iCs/>
                <w:color w:val="000000"/>
              </w:rPr>
            </w:pPr>
            <w:r>
              <w:rPr>
                <w:i/>
                <w:iCs/>
                <w:color w:val="000000"/>
              </w:rPr>
              <w:t>70.39</w:t>
            </w:r>
          </w:p>
        </w:tc>
        <w:tc>
          <w:tcPr>
            <w:tcW w:w="1701" w:type="dxa"/>
            <w:tcBorders>
              <w:end w:val="single" w:sz="6" w:space="0" w:color="000000"/>
            </w:tcBorders>
          </w:tcPr>
          <w:p>
            <w:pPr>
              <w:pStyle w:val="Normal"/>
              <w:tabs>
                <w:tab w:val="clear" w:pos="720"/>
                <w:tab w:val="left" w:pos="2970" w:leader="none"/>
              </w:tabs>
              <w:jc w:val="center"/>
              <w:rPr>
                <w:i/>
                <w:i/>
                <w:iCs/>
                <w:color w:val="000000"/>
              </w:rPr>
            </w:pPr>
            <w:r>
              <w:rPr>
                <w:i/>
                <w:iCs/>
                <w:color w:val="000000"/>
              </w:rPr>
              <w:t>34.17</w:t>
            </w:r>
          </w:p>
        </w:tc>
      </w:tr>
      <w:tr>
        <w:trPr>
          <w:trHeight w:val="200" w:hRule="atLeast"/>
        </w:trPr>
        <w:tc>
          <w:tcPr>
            <w:tcW w:w="3060" w:type="dxa"/>
            <w:tcBorders>
              <w:start w:val="single" w:sz="6" w:space="0" w:color="000000"/>
            </w:tcBorders>
          </w:tcPr>
          <w:p>
            <w:pPr>
              <w:pStyle w:val="Normal"/>
              <w:tabs>
                <w:tab w:val="clear" w:pos="720"/>
                <w:tab w:val="left" w:pos="2970" w:leader="none"/>
              </w:tabs>
              <w:rPr>
                <w:i/>
                <w:i/>
                <w:iCs/>
                <w:color w:val="000000"/>
              </w:rPr>
            </w:pPr>
            <w:r>
              <w:rPr>
                <w:i/>
                <w:iCs/>
                <w:color w:val="000000"/>
              </w:rPr>
              <w:t>Gasoil</w:t>
            </w:r>
          </w:p>
        </w:tc>
        <w:tc>
          <w:tcPr>
            <w:tcW w:w="1080" w:type="dxa"/>
            <w:tcBorders/>
          </w:tcPr>
          <w:p>
            <w:pPr>
              <w:pStyle w:val="Normal"/>
              <w:tabs>
                <w:tab w:val="clear" w:pos="720"/>
                <w:tab w:val="left" w:pos="2970" w:leader="none"/>
              </w:tabs>
              <w:rPr>
                <w:i/>
                <w:i/>
                <w:iCs/>
                <w:color w:val="000000"/>
              </w:rPr>
            </w:pPr>
            <w:r>
              <w:rPr>
                <w:i/>
                <w:iCs/>
                <w:color w:val="000000"/>
              </w:rPr>
              <w:t>Sep 19</w:t>
            </w:r>
          </w:p>
        </w:tc>
        <w:tc>
          <w:tcPr>
            <w:tcW w:w="1350" w:type="dxa"/>
            <w:tcBorders/>
          </w:tcPr>
          <w:p>
            <w:pPr>
              <w:pStyle w:val="Normal"/>
              <w:tabs>
                <w:tab w:val="clear" w:pos="720"/>
                <w:tab w:val="left" w:pos="2970" w:leader="none"/>
              </w:tabs>
              <w:rPr>
                <w:i/>
                <w:i/>
                <w:iCs/>
                <w:color w:val="000000"/>
              </w:rPr>
            </w:pPr>
            <w:r>
              <w:rPr>
                <w:i/>
                <w:iCs/>
                <w:color w:val="000000"/>
              </w:rPr>
              <w:t>AG</w:t>
            </w:r>
          </w:p>
        </w:tc>
        <w:tc>
          <w:tcPr>
            <w:tcW w:w="1350" w:type="dxa"/>
            <w:tcBorders/>
          </w:tcPr>
          <w:p>
            <w:pPr>
              <w:pStyle w:val="Normal"/>
              <w:tabs>
                <w:tab w:val="clear" w:pos="720"/>
                <w:tab w:val="left" w:pos="2970" w:leader="none"/>
              </w:tabs>
              <w:rPr>
                <w:i/>
                <w:i/>
                <w:iCs/>
                <w:color w:val="000000"/>
              </w:rPr>
            </w:pPr>
            <w:r>
              <w:rPr>
                <w:i/>
                <w:iCs/>
                <w:color w:val="000000"/>
              </w:rPr>
              <w:t>Med</w:t>
            </w:r>
          </w:p>
        </w:tc>
        <w:tc>
          <w:tcPr>
            <w:tcW w:w="1170" w:type="dxa"/>
            <w:tcBorders/>
          </w:tcPr>
          <w:p>
            <w:pPr>
              <w:pStyle w:val="Normal"/>
              <w:tabs>
                <w:tab w:val="clear" w:pos="720"/>
                <w:tab w:val="left" w:pos="2970" w:leader="none"/>
              </w:tabs>
              <w:jc w:val="center"/>
              <w:rPr>
                <w:i/>
                <w:i/>
                <w:iCs/>
                <w:color w:val="000000"/>
              </w:rPr>
            </w:pPr>
            <w:r>
              <w:rPr>
                <w:i/>
                <w:iCs/>
                <w:color w:val="000000"/>
              </w:rPr>
              <w:t>29.64</w:t>
            </w:r>
          </w:p>
        </w:tc>
        <w:tc>
          <w:tcPr>
            <w:tcW w:w="1360" w:type="dxa"/>
            <w:tcBorders/>
          </w:tcPr>
          <w:p>
            <w:pPr>
              <w:pStyle w:val="Normal"/>
              <w:tabs>
                <w:tab w:val="clear" w:pos="720"/>
                <w:tab w:val="left" w:pos="2970" w:leader="none"/>
              </w:tabs>
              <w:jc w:val="center"/>
              <w:rPr>
                <w:i/>
                <w:i/>
                <w:iCs/>
                <w:color w:val="000000"/>
              </w:rPr>
            </w:pPr>
            <w:r>
              <w:rPr>
                <w:i/>
                <w:iCs/>
                <w:color w:val="000000"/>
              </w:rPr>
              <w:t>37.64</w:t>
            </w:r>
          </w:p>
        </w:tc>
        <w:tc>
          <w:tcPr>
            <w:tcW w:w="1701" w:type="dxa"/>
            <w:tcBorders>
              <w:end w:val="single" w:sz="6" w:space="0" w:color="000000"/>
            </w:tcBorders>
          </w:tcPr>
          <w:p>
            <w:pPr>
              <w:pStyle w:val="Normal"/>
              <w:tabs>
                <w:tab w:val="clear" w:pos="720"/>
                <w:tab w:val="left" w:pos="2970" w:leader="none"/>
              </w:tabs>
              <w:jc w:val="center"/>
              <w:rPr>
                <w:i/>
                <w:i/>
                <w:iCs/>
                <w:color w:val="000000"/>
              </w:rPr>
            </w:pPr>
            <w:r>
              <w:rPr>
                <w:i/>
                <w:iCs/>
                <w:color w:val="000000"/>
              </w:rPr>
              <w:t>30.09</w:t>
            </w:r>
          </w:p>
        </w:tc>
      </w:tr>
      <w:tr>
        <w:trPr>
          <w:trHeight w:val="200" w:hRule="atLeast"/>
        </w:trPr>
        <w:tc>
          <w:tcPr>
            <w:tcW w:w="3060" w:type="dxa"/>
            <w:tcBorders>
              <w:start w:val="single" w:sz="6" w:space="0" w:color="000000"/>
            </w:tcBorders>
          </w:tcPr>
          <w:p>
            <w:pPr>
              <w:pStyle w:val="Normal"/>
              <w:tabs>
                <w:tab w:val="clear" w:pos="720"/>
                <w:tab w:val="left" w:pos="2970" w:leader="none"/>
              </w:tabs>
              <w:rPr>
                <w:b/>
                <w:bCs/>
                <w:i/>
                <w:i/>
                <w:iCs/>
                <w:color w:val="000000"/>
                <w:u w:val="single"/>
              </w:rPr>
            </w:pPr>
            <w:r>
              <w:rPr>
                <w:b/>
                <w:bCs/>
                <w:i/>
                <w:iCs/>
                <w:color w:val="000000"/>
                <w:u w:val="single"/>
              </w:rPr>
              <w:t>Kero Jet #</w:t>
            </w:r>
          </w:p>
        </w:tc>
        <w:tc>
          <w:tcPr>
            <w:tcW w:w="1080" w:type="dxa"/>
            <w:tcBorders/>
          </w:tcPr>
          <w:p>
            <w:pPr>
              <w:pStyle w:val="Normal"/>
              <w:tabs>
                <w:tab w:val="clear" w:pos="720"/>
                <w:tab w:val="left" w:pos="2970" w:leader="none"/>
              </w:tabs>
              <w:rPr>
                <w:b/>
                <w:bCs/>
                <w:i/>
                <w:i/>
                <w:iCs/>
                <w:color w:val="000000"/>
                <w:u w:val="single"/>
              </w:rPr>
            </w:pPr>
            <w:r>
              <w:rPr>
                <w:b/>
                <w:bCs/>
                <w:i/>
                <w:iCs/>
                <w:color w:val="000000"/>
                <w:u w:val="single"/>
              </w:rPr>
              <w:t>Oct 4</w:t>
            </w:r>
          </w:p>
        </w:tc>
        <w:tc>
          <w:tcPr>
            <w:tcW w:w="1350" w:type="dxa"/>
            <w:tcBorders/>
          </w:tcPr>
          <w:p>
            <w:pPr>
              <w:pStyle w:val="Normal"/>
              <w:tabs>
                <w:tab w:val="clear" w:pos="720"/>
                <w:tab w:val="left" w:pos="2970" w:leader="none"/>
              </w:tabs>
              <w:rPr>
                <w:b/>
                <w:bCs/>
                <w:i/>
                <w:i/>
                <w:iCs/>
                <w:color w:val="000000"/>
                <w:u w:val="single"/>
              </w:rPr>
            </w:pPr>
            <w:r>
              <w:rPr>
                <w:b/>
                <w:bCs/>
                <w:i/>
                <w:iCs/>
                <w:color w:val="000000"/>
                <w:u w:val="single"/>
              </w:rPr>
              <w:t>USGC</w:t>
            </w:r>
          </w:p>
        </w:tc>
        <w:tc>
          <w:tcPr>
            <w:tcW w:w="1350" w:type="dxa"/>
            <w:tcBorders/>
          </w:tcPr>
          <w:p>
            <w:pPr>
              <w:pStyle w:val="Normal"/>
              <w:tabs>
                <w:tab w:val="clear" w:pos="720"/>
                <w:tab w:val="left" w:pos="2970" w:leader="none"/>
              </w:tabs>
              <w:rPr>
                <w:b/>
                <w:bCs/>
                <w:i/>
                <w:i/>
                <w:iCs/>
                <w:color w:val="000000"/>
                <w:u w:val="single"/>
              </w:rPr>
            </w:pPr>
            <w:r>
              <w:rPr>
                <w:b/>
                <w:bCs/>
                <w:i/>
                <w:iCs/>
                <w:color w:val="000000"/>
                <w:u w:val="single"/>
              </w:rPr>
              <w:t>USWC-SF</w:t>
            </w:r>
          </w:p>
        </w:tc>
        <w:tc>
          <w:tcPr>
            <w:tcW w:w="1170" w:type="dxa"/>
            <w:tcBorders/>
          </w:tcPr>
          <w:p>
            <w:pPr>
              <w:pStyle w:val="Normal"/>
              <w:tabs>
                <w:tab w:val="clear" w:pos="720"/>
                <w:tab w:val="left" w:pos="2970" w:leader="none"/>
              </w:tabs>
              <w:jc w:val="center"/>
              <w:rPr>
                <w:b/>
                <w:bCs/>
                <w:i/>
                <w:i/>
                <w:iCs/>
                <w:color w:val="000000"/>
                <w:u w:val="single"/>
              </w:rPr>
            </w:pPr>
            <w:r>
              <w:rPr>
                <w:b/>
                <w:bCs/>
                <w:i/>
                <w:iCs/>
                <w:color w:val="000000"/>
                <w:u w:val="single"/>
              </w:rPr>
              <w:t>24.37</w:t>
            </w:r>
          </w:p>
        </w:tc>
        <w:tc>
          <w:tcPr>
            <w:tcW w:w="1360" w:type="dxa"/>
            <w:tcBorders/>
          </w:tcPr>
          <w:p>
            <w:pPr>
              <w:pStyle w:val="Normal"/>
              <w:tabs>
                <w:tab w:val="clear" w:pos="720"/>
                <w:tab w:val="left" w:pos="2970" w:leader="none"/>
              </w:tabs>
              <w:jc w:val="center"/>
              <w:rPr>
                <w:b/>
                <w:bCs/>
                <w:i/>
                <w:i/>
                <w:iCs/>
                <w:color w:val="000000"/>
                <w:u w:val="single"/>
              </w:rPr>
            </w:pPr>
            <w:r>
              <w:rPr>
                <w:b/>
                <w:bCs/>
                <w:i/>
                <w:iCs/>
                <w:color w:val="000000"/>
                <w:u w:val="single"/>
              </w:rPr>
              <w:t>7.26</w:t>
            </w:r>
          </w:p>
        </w:tc>
        <w:tc>
          <w:tcPr>
            <w:tcW w:w="1701" w:type="dxa"/>
            <w:tcBorders>
              <w:end w:val="single" w:sz="6" w:space="0" w:color="000000"/>
            </w:tcBorders>
          </w:tcPr>
          <w:p>
            <w:pPr>
              <w:pStyle w:val="Normal"/>
              <w:tabs>
                <w:tab w:val="clear" w:pos="720"/>
                <w:tab w:val="left" w:pos="2970" w:leader="none"/>
              </w:tabs>
              <w:jc w:val="center"/>
              <w:rPr>
                <w:b/>
                <w:bCs/>
                <w:i/>
                <w:i/>
                <w:iCs/>
                <w:color w:val="000000"/>
                <w:u w:val="single"/>
              </w:rPr>
            </w:pPr>
            <w:r>
              <w:rPr>
                <w:b/>
                <w:bCs/>
                <w:i/>
                <w:iCs/>
                <w:color w:val="000000"/>
                <w:u w:val="single"/>
              </w:rPr>
              <w:t>0.00</w:t>
            </w:r>
          </w:p>
        </w:tc>
      </w:tr>
      <w:tr>
        <w:trPr>
          <w:trHeight w:val="200" w:hRule="atLeast"/>
        </w:trPr>
        <w:tc>
          <w:tcPr>
            <w:tcW w:w="3060" w:type="dxa"/>
            <w:tcBorders>
              <w:start w:val="single" w:sz="6" w:space="0" w:color="000000"/>
            </w:tcBorders>
          </w:tcPr>
          <w:p>
            <w:pPr>
              <w:pStyle w:val="Normal"/>
              <w:tabs>
                <w:tab w:val="clear" w:pos="720"/>
                <w:tab w:val="left" w:pos="2970" w:leader="none"/>
              </w:tabs>
              <w:rPr>
                <w:i/>
                <w:i/>
                <w:iCs/>
                <w:color w:val="000000"/>
              </w:rPr>
            </w:pPr>
            <w:r>
              <w:rPr>
                <w:i/>
                <w:iCs/>
                <w:color w:val="000000"/>
              </w:rPr>
              <w:t>LS #2 HTO</w:t>
            </w:r>
          </w:p>
        </w:tc>
        <w:tc>
          <w:tcPr>
            <w:tcW w:w="1080" w:type="dxa"/>
            <w:tcBorders/>
          </w:tcPr>
          <w:p>
            <w:pPr>
              <w:pStyle w:val="Normal"/>
              <w:tabs>
                <w:tab w:val="clear" w:pos="720"/>
                <w:tab w:val="left" w:pos="2970" w:leader="none"/>
              </w:tabs>
              <w:rPr>
                <w:i/>
                <w:i/>
                <w:iCs/>
                <w:color w:val="000000"/>
              </w:rPr>
            </w:pPr>
            <w:r>
              <w:rPr>
                <w:i/>
                <w:iCs/>
                <w:color w:val="000000"/>
              </w:rPr>
              <w:t>Oct 4</w:t>
            </w:r>
          </w:p>
        </w:tc>
        <w:tc>
          <w:tcPr>
            <w:tcW w:w="1350" w:type="dxa"/>
            <w:tcBorders/>
          </w:tcPr>
          <w:p>
            <w:pPr>
              <w:pStyle w:val="Normal"/>
              <w:tabs>
                <w:tab w:val="clear" w:pos="720"/>
                <w:tab w:val="left" w:pos="2970" w:leader="none"/>
              </w:tabs>
              <w:rPr>
                <w:i/>
                <w:i/>
                <w:iCs/>
                <w:color w:val="000000"/>
              </w:rPr>
            </w:pPr>
            <w:r>
              <w:rPr>
                <w:i/>
                <w:iCs/>
                <w:color w:val="000000"/>
              </w:rPr>
              <w:t>USGC</w:t>
            </w:r>
          </w:p>
        </w:tc>
        <w:tc>
          <w:tcPr>
            <w:tcW w:w="1350" w:type="dxa"/>
            <w:tcBorders/>
          </w:tcPr>
          <w:p>
            <w:pPr>
              <w:pStyle w:val="Normal"/>
              <w:tabs>
                <w:tab w:val="clear" w:pos="720"/>
                <w:tab w:val="left" w:pos="2970" w:leader="none"/>
              </w:tabs>
              <w:rPr>
                <w:i/>
                <w:i/>
                <w:iCs/>
                <w:color w:val="000000"/>
              </w:rPr>
            </w:pPr>
            <w:r>
              <w:rPr>
                <w:i/>
                <w:iCs/>
                <w:color w:val="000000"/>
              </w:rPr>
              <w:t>USWC-SF</w:t>
            </w:r>
          </w:p>
        </w:tc>
        <w:tc>
          <w:tcPr>
            <w:tcW w:w="1170" w:type="dxa"/>
            <w:tcBorders/>
          </w:tcPr>
          <w:p>
            <w:pPr>
              <w:pStyle w:val="Normal"/>
              <w:tabs>
                <w:tab w:val="clear" w:pos="720"/>
                <w:tab w:val="left" w:pos="2970" w:leader="none"/>
              </w:tabs>
              <w:jc w:val="center"/>
              <w:rPr>
                <w:i/>
                <w:i/>
                <w:iCs/>
                <w:color w:val="000000"/>
              </w:rPr>
            </w:pPr>
            <w:r>
              <w:rPr>
                <w:i/>
                <w:iCs/>
                <w:color w:val="000000"/>
              </w:rPr>
              <w:t>35.96</w:t>
            </w:r>
          </w:p>
        </w:tc>
        <w:tc>
          <w:tcPr>
            <w:tcW w:w="1360" w:type="dxa"/>
            <w:tcBorders/>
          </w:tcPr>
          <w:p>
            <w:pPr>
              <w:pStyle w:val="Normal"/>
              <w:tabs>
                <w:tab w:val="clear" w:pos="720"/>
                <w:tab w:val="left" w:pos="2970" w:leader="none"/>
              </w:tabs>
              <w:jc w:val="center"/>
              <w:rPr>
                <w:i/>
                <w:i/>
                <w:iCs/>
                <w:color w:val="000000"/>
              </w:rPr>
            </w:pPr>
            <w:r>
              <w:rPr>
                <w:i/>
                <w:iCs/>
                <w:color w:val="000000"/>
              </w:rPr>
              <w:t>16.15</w:t>
            </w:r>
          </w:p>
        </w:tc>
        <w:tc>
          <w:tcPr>
            <w:tcW w:w="1701" w:type="dxa"/>
            <w:tcBorders>
              <w:end w:val="single" w:sz="6" w:space="0" w:color="000000"/>
            </w:tcBorders>
          </w:tcPr>
          <w:p>
            <w:pPr>
              <w:pStyle w:val="Normal"/>
              <w:tabs>
                <w:tab w:val="clear" w:pos="720"/>
                <w:tab w:val="left" w:pos="2970" w:leader="none"/>
              </w:tabs>
              <w:jc w:val="center"/>
              <w:rPr>
                <w:i/>
                <w:i/>
                <w:iCs/>
                <w:color w:val="000000"/>
              </w:rPr>
            </w:pPr>
            <w:r>
              <w:rPr>
                <w:i/>
                <w:iCs/>
                <w:color w:val="000000"/>
              </w:rPr>
              <w:t>6.05</w:t>
            </w:r>
          </w:p>
        </w:tc>
      </w:tr>
      <w:tr>
        <w:trPr>
          <w:trHeight w:val="200" w:hRule="atLeast"/>
        </w:trPr>
        <w:tc>
          <w:tcPr>
            <w:tcW w:w="3060" w:type="dxa"/>
            <w:tcBorders>
              <w:start w:val="single" w:sz="6" w:space="0" w:color="000000"/>
            </w:tcBorders>
          </w:tcPr>
          <w:p>
            <w:pPr>
              <w:pStyle w:val="Normal"/>
              <w:tabs>
                <w:tab w:val="clear" w:pos="720"/>
                <w:tab w:val="left" w:pos="2970" w:leader="none"/>
              </w:tabs>
              <w:rPr>
                <w:i/>
                <w:i/>
                <w:iCs/>
                <w:color w:val="000000"/>
              </w:rPr>
            </w:pPr>
            <w:r>
              <w:rPr>
                <w:i/>
                <w:iCs/>
                <w:color w:val="000000"/>
              </w:rPr>
              <w:t>Reg Unl Gas</w:t>
            </w:r>
          </w:p>
        </w:tc>
        <w:tc>
          <w:tcPr>
            <w:tcW w:w="1080" w:type="dxa"/>
            <w:tcBorders/>
          </w:tcPr>
          <w:p>
            <w:pPr>
              <w:pStyle w:val="Normal"/>
              <w:tabs>
                <w:tab w:val="clear" w:pos="720"/>
                <w:tab w:val="left" w:pos="2970" w:leader="none"/>
              </w:tabs>
              <w:rPr>
                <w:i/>
                <w:i/>
                <w:iCs/>
                <w:color w:val="000000"/>
              </w:rPr>
            </w:pPr>
            <w:r>
              <w:rPr>
                <w:i/>
                <w:iCs/>
                <w:color w:val="000000"/>
              </w:rPr>
              <w:t>Oct 10</w:t>
            </w:r>
          </w:p>
        </w:tc>
        <w:tc>
          <w:tcPr>
            <w:tcW w:w="1350" w:type="dxa"/>
            <w:tcBorders/>
          </w:tcPr>
          <w:p>
            <w:pPr>
              <w:pStyle w:val="Normal"/>
              <w:tabs>
                <w:tab w:val="clear" w:pos="720"/>
                <w:tab w:val="left" w:pos="2970" w:leader="none"/>
              </w:tabs>
              <w:rPr>
                <w:i/>
                <w:i/>
                <w:iCs/>
                <w:color w:val="000000"/>
              </w:rPr>
            </w:pPr>
            <w:r>
              <w:rPr>
                <w:i/>
                <w:iCs/>
                <w:color w:val="000000"/>
              </w:rPr>
              <w:t>NWE</w:t>
            </w:r>
          </w:p>
        </w:tc>
        <w:tc>
          <w:tcPr>
            <w:tcW w:w="1350" w:type="dxa"/>
            <w:tcBorders/>
          </w:tcPr>
          <w:p>
            <w:pPr>
              <w:pStyle w:val="Normal"/>
              <w:tabs>
                <w:tab w:val="clear" w:pos="720"/>
                <w:tab w:val="left" w:pos="2970" w:leader="none"/>
              </w:tabs>
              <w:rPr>
                <w:i/>
                <w:i/>
                <w:iCs/>
                <w:color w:val="000000"/>
              </w:rPr>
            </w:pPr>
            <w:r>
              <w:rPr>
                <w:i/>
                <w:iCs/>
                <w:color w:val="000000"/>
              </w:rPr>
              <w:t>NYH</w:t>
            </w:r>
          </w:p>
        </w:tc>
        <w:tc>
          <w:tcPr>
            <w:tcW w:w="1170" w:type="dxa"/>
            <w:tcBorders/>
          </w:tcPr>
          <w:p>
            <w:pPr>
              <w:pStyle w:val="Normal"/>
              <w:tabs>
                <w:tab w:val="clear" w:pos="720"/>
                <w:tab w:val="left" w:pos="2970" w:leader="none"/>
              </w:tabs>
              <w:jc w:val="center"/>
              <w:rPr>
                <w:i/>
                <w:i/>
                <w:iCs/>
                <w:color w:val="000000"/>
              </w:rPr>
            </w:pPr>
            <w:r>
              <w:rPr>
                <w:i/>
                <w:iCs/>
                <w:color w:val="000000"/>
              </w:rPr>
              <w:t>38.14</w:t>
            </w:r>
          </w:p>
        </w:tc>
        <w:tc>
          <w:tcPr>
            <w:tcW w:w="1360" w:type="dxa"/>
            <w:tcBorders/>
          </w:tcPr>
          <w:p>
            <w:pPr>
              <w:pStyle w:val="Normal"/>
              <w:tabs>
                <w:tab w:val="clear" w:pos="720"/>
                <w:tab w:val="left" w:pos="2970" w:leader="none"/>
              </w:tabs>
              <w:jc w:val="center"/>
              <w:rPr>
                <w:i/>
                <w:i/>
                <w:iCs/>
                <w:color w:val="000000"/>
              </w:rPr>
            </w:pPr>
            <w:r>
              <w:rPr>
                <w:i/>
                <w:iCs/>
                <w:color w:val="000000"/>
              </w:rPr>
              <w:t>41.97</w:t>
            </w:r>
          </w:p>
        </w:tc>
        <w:tc>
          <w:tcPr>
            <w:tcW w:w="1701" w:type="dxa"/>
            <w:tcBorders>
              <w:end w:val="single" w:sz="6" w:space="0" w:color="000000"/>
            </w:tcBorders>
          </w:tcPr>
          <w:p>
            <w:pPr>
              <w:pStyle w:val="Normal"/>
              <w:tabs>
                <w:tab w:val="clear" w:pos="720"/>
                <w:tab w:val="left" w:pos="2970" w:leader="none"/>
              </w:tabs>
              <w:jc w:val="center"/>
              <w:rPr>
                <w:i/>
                <w:i/>
                <w:iCs/>
                <w:color w:val="000000"/>
              </w:rPr>
            </w:pPr>
            <w:r>
              <w:rPr>
                <w:i/>
                <w:iCs/>
                <w:color w:val="000000"/>
              </w:rPr>
              <w:t>34.71</w:t>
            </w:r>
          </w:p>
        </w:tc>
      </w:tr>
      <w:tr>
        <w:trPr>
          <w:trHeight w:val="200" w:hRule="atLeast"/>
        </w:trPr>
        <w:tc>
          <w:tcPr>
            <w:tcW w:w="3060" w:type="dxa"/>
            <w:tcBorders>
              <w:start w:val="single" w:sz="6" w:space="0" w:color="000000"/>
            </w:tcBorders>
          </w:tcPr>
          <w:p>
            <w:pPr>
              <w:pStyle w:val="Normal"/>
              <w:tabs>
                <w:tab w:val="clear" w:pos="720"/>
                <w:tab w:val="left" w:pos="2970" w:leader="none"/>
              </w:tabs>
              <w:rPr>
                <w:i/>
                <w:i/>
                <w:iCs/>
                <w:color w:val="000000"/>
              </w:rPr>
            </w:pPr>
            <w:r>
              <w:rPr>
                <w:i/>
                <w:iCs/>
                <w:color w:val="000000"/>
              </w:rPr>
              <w:t>Naphtha (N+A)</w:t>
            </w:r>
          </w:p>
        </w:tc>
        <w:tc>
          <w:tcPr>
            <w:tcW w:w="1080" w:type="dxa"/>
            <w:tcBorders/>
          </w:tcPr>
          <w:p>
            <w:pPr>
              <w:pStyle w:val="Normal"/>
              <w:tabs>
                <w:tab w:val="clear" w:pos="720"/>
                <w:tab w:val="left" w:pos="2970" w:leader="none"/>
              </w:tabs>
              <w:rPr>
                <w:i/>
                <w:i/>
                <w:iCs/>
                <w:color w:val="000000"/>
              </w:rPr>
            </w:pPr>
            <w:r>
              <w:rPr>
                <w:i/>
                <w:iCs/>
                <w:color w:val="000000"/>
              </w:rPr>
              <w:t>Oct 26</w:t>
            </w:r>
          </w:p>
        </w:tc>
        <w:tc>
          <w:tcPr>
            <w:tcW w:w="1350" w:type="dxa"/>
            <w:tcBorders/>
          </w:tcPr>
          <w:p>
            <w:pPr>
              <w:pStyle w:val="Normal"/>
              <w:tabs>
                <w:tab w:val="clear" w:pos="720"/>
                <w:tab w:val="left" w:pos="2970" w:leader="none"/>
              </w:tabs>
              <w:rPr>
                <w:i/>
                <w:i/>
                <w:iCs/>
                <w:color w:val="000000"/>
              </w:rPr>
            </w:pPr>
            <w:r>
              <w:rPr>
                <w:i/>
                <w:iCs/>
                <w:color w:val="000000"/>
              </w:rPr>
              <w:t xml:space="preserve">Med </w:t>
            </w:r>
          </w:p>
        </w:tc>
        <w:tc>
          <w:tcPr>
            <w:tcW w:w="1350" w:type="dxa"/>
            <w:tcBorders/>
          </w:tcPr>
          <w:p>
            <w:pPr>
              <w:pStyle w:val="Normal"/>
              <w:tabs>
                <w:tab w:val="clear" w:pos="720"/>
                <w:tab w:val="left" w:pos="2970" w:leader="none"/>
              </w:tabs>
              <w:rPr>
                <w:i/>
                <w:i/>
                <w:iCs/>
                <w:color w:val="000000"/>
              </w:rPr>
            </w:pPr>
            <w:r>
              <w:rPr>
                <w:i/>
                <w:iCs/>
                <w:color w:val="000000"/>
              </w:rPr>
              <w:t>USGC</w:t>
            </w:r>
          </w:p>
        </w:tc>
        <w:tc>
          <w:tcPr>
            <w:tcW w:w="1170" w:type="dxa"/>
            <w:tcBorders/>
          </w:tcPr>
          <w:p>
            <w:pPr>
              <w:pStyle w:val="Normal"/>
              <w:tabs>
                <w:tab w:val="clear" w:pos="720"/>
                <w:tab w:val="left" w:pos="2970" w:leader="none"/>
              </w:tabs>
              <w:jc w:val="center"/>
              <w:rPr>
                <w:i/>
                <w:i/>
                <w:iCs/>
                <w:color w:val="000000"/>
              </w:rPr>
            </w:pPr>
            <w:r>
              <w:rPr>
                <w:i/>
                <w:iCs/>
                <w:color w:val="000000"/>
              </w:rPr>
              <w:t>35.04</w:t>
            </w:r>
          </w:p>
        </w:tc>
        <w:tc>
          <w:tcPr>
            <w:tcW w:w="1360" w:type="dxa"/>
            <w:tcBorders/>
          </w:tcPr>
          <w:p>
            <w:pPr>
              <w:pStyle w:val="Normal"/>
              <w:tabs>
                <w:tab w:val="clear" w:pos="720"/>
                <w:tab w:val="left" w:pos="2970" w:leader="none"/>
              </w:tabs>
              <w:jc w:val="center"/>
              <w:rPr>
                <w:i/>
                <w:i/>
                <w:iCs/>
                <w:color w:val="000000"/>
              </w:rPr>
            </w:pPr>
            <w:r>
              <w:rPr>
                <w:i/>
                <w:iCs/>
                <w:color w:val="000000"/>
              </w:rPr>
              <w:t>9.54</w:t>
            </w:r>
          </w:p>
        </w:tc>
        <w:tc>
          <w:tcPr>
            <w:tcW w:w="1701" w:type="dxa"/>
            <w:tcBorders>
              <w:end w:val="single" w:sz="6" w:space="0" w:color="000000"/>
            </w:tcBorders>
          </w:tcPr>
          <w:p>
            <w:pPr>
              <w:pStyle w:val="Normal"/>
              <w:tabs>
                <w:tab w:val="clear" w:pos="720"/>
                <w:tab w:val="left" w:pos="2970" w:leader="none"/>
              </w:tabs>
              <w:jc w:val="center"/>
              <w:rPr>
                <w:i/>
                <w:i/>
                <w:iCs/>
                <w:color w:val="000000"/>
              </w:rPr>
            </w:pPr>
            <w:r>
              <w:rPr>
                <w:i/>
                <w:iCs/>
                <w:color w:val="000000"/>
              </w:rPr>
              <w:t>3.07</w:t>
            </w:r>
          </w:p>
        </w:tc>
      </w:tr>
      <w:tr>
        <w:trPr>
          <w:trHeight w:val="200" w:hRule="atLeast"/>
        </w:trPr>
        <w:tc>
          <w:tcPr>
            <w:tcW w:w="3060" w:type="dxa"/>
            <w:tcBorders>
              <w:start w:val="single" w:sz="6" w:space="0" w:color="000000"/>
            </w:tcBorders>
          </w:tcPr>
          <w:p>
            <w:pPr>
              <w:pStyle w:val="Normal"/>
              <w:tabs>
                <w:tab w:val="clear" w:pos="720"/>
                <w:tab w:val="left" w:pos="2970" w:leader="none"/>
              </w:tabs>
              <w:rPr>
                <w:i/>
                <w:i/>
                <w:iCs/>
                <w:color w:val="000000"/>
              </w:rPr>
            </w:pPr>
            <w:r>
              <w:rPr>
                <w:i/>
                <w:iCs/>
                <w:color w:val="000000"/>
              </w:rPr>
              <w:t>LSFO 1%</w:t>
            </w:r>
          </w:p>
        </w:tc>
        <w:tc>
          <w:tcPr>
            <w:tcW w:w="1080" w:type="dxa"/>
            <w:tcBorders/>
          </w:tcPr>
          <w:p>
            <w:pPr>
              <w:pStyle w:val="Normal"/>
              <w:tabs>
                <w:tab w:val="clear" w:pos="720"/>
                <w:tab w:val="left" w:pos="2970" w:leader="none"/>
              </w:tabs>
              <w:rPr>
                <w:i/>
                <w:i/>
                <w:iCs/>
                <w:color w:val="000000"/>
              </w:rPr>
            </w:pPr>
            <w:r>
              <w:rPr>
                <w:i/>
                <w:iCs/>
                <w:color w:val="000000"/>
              </w:rPr>
              <w:t>Oct 26</w:t>
            </w:r>
          </w:p>
        </w:tc>
        <w:tc>
          <w:tcPr>
            <w:tcW w:w="1350" w:type="dxa"/>
            <w:tcBorders/>
          </w:tcPr>
          <w:p>
            <w:pPr>
              <w:pStyle w:val="Normal"/>
              <w:tabs>
                <w:tab w:val="clear" w:pos="720"/>
                <w:tab w:val="left" w:pos="2970" w:leader="none"/>
              </w:tabs>
              <w:rPr>
                <w:i/>
                <w:i/>
                <w:iCs/>
                <w:color w:val="000000"/>
              </w:rPr>
            </w:pPr>
            <w:r>
              <w:rPr>
                <w:i/>
                <w:iCs/>
                <w:color w:val="000000"/>
              </w:rPr>
              <w:t>NWE</w:t>
            </w:r>
          </w:p>
        </w:tc>
        <w:tc>
          <w:tcPr>
            <w:tcW w:w="1350" w:type="dxa"/>
            <w:tcBorders/>
          </w:tcPr>
          <w:p>
            <w:pPr>
              <w:pStyle w:val="Normal"/>
              <w:tabs>
                <w:tab w:val="clear" w:pos="720"/>
                <w:tab w:val="left" w:pos="2970" w:leader="none"/>
              </w:tabs>
              <w:rPr>
                <w:i/>
                <w:i/>
                <w:iCs/>
                <w:color w:val="000000"/>
              </w:rPr>
            </w:pPr>
            <w:r>
              <w:rPr>
                <w:i/>
                <w:iCs/>
                <w:color w:val="000000"/>
              </w:rPr>
              <w:t>Med</w:t>
            </w:r>
          </w:p>
        </w:tc>
        <w:tc>
          <w:tcPr>
            <w:tcW w:w="1170" w:type="dxa"/>
            <w:tcBorders/>
          </w:tcPr>
          <w:p>
            <w:pPr>
              <w:pStyle w:val="Normal"/>
              <w:tabs>
                <w:tab w:val="clear" w:pos="720"/>
                <w:tab w:val="left" w:pos="2970" w:leader="none"/>
              </w:tabs>
              <w:jc w:val="center"/>
              <w:rPr>
                <w:i/>
                <w:i/>
                <w:iCs/>
                <w:color w:val="000000"/>
              </w:rPr>
            </w:pPr>
            <w:r>
              <w:rPr>
                <w:i/>
                <w:iCs/>
                <w:color w:val="000000"/>
              </w:rPr>
              <w:t>15.39</w:t>
            </w:r>
          </w:p>
        </w:tc>
        <w:tc>
          <w:tcPr>
            <w:tcW w:w="1360" w:type="dxa"/>
            <w:tcBorders/>
          </w:tcPr>
          <w:p>
            <w:pPr>
              <w:pStyle w:val="Normal"/>
              <w:tabs>
                <w:tab w:val="clear" w:pos="720"/>
                <w:tab w:val="left" w:pos="2970" w:leader="none"/>
              </w:tabs>
              <w:jc w:val="center"/>
              <w:rPr>
                <w:i/>
                <w:i/>
                <w:iCs/>
                <w:color w:val="000000"/>
              </w:rPr>
            </w:pPr>
            <w:r>
              <w:rPr>
                <w:i/>
                <w:iCs/>
                <w:color w:val="000000"/>
              </w:rPr>
              <w:t>5.05</w:t>
            </w:r>
          </w:p>
        </w:tc>
        <w:tc>
          <w:tcPr>
            <w:tcW w:w="1701" w:type="dxa"/>
            <w:tcBorders>
              <w:end w:val="single" w:sz="6" w:space="0" w:color="000000"/>
            </w:tcBorders>
          </w:tcPr>
          <w:p>
            <w:pPr>
              <w:pStyle w:val="Normal"/>
              <w:tabs>
                <w:tab w:val="clear" w:pos="720"/>
                <w:tab w:val="left" w:pos="2970" w:leader="none"/>
              </w:tabs>
              <w:jc w:val="center"/>
              <w:rPr>
                <w:i/>
                <w:i/>
                <w:iCs/>
                <w:color w:val="000000"/>
              </w:rPr>
            </w:pPr>
            <w:r>
              <w:rPr>
                <w:i/>
                <w:iCs/>
                <w:color w:val="000000"/>
              </w:rPr>
              <w:t>5.05</w:t>
            </w:r>
          </w:p>
        </w:tc>
      </w:tr>
      <w:tr>
        <w:trPr>
          <w:trHeight w:val="200" w:hRule="atLeast"/>
        </w:trPr>
        <w:tc>
          <w:tcPr>
            <w:tcW w:w="3060" w:type="dxa"/>
            <w:tcBorders>
              <w:start w:val="single" w:sz="6" w:space="0" w:color="000000"/>
            </w:tcBorders>
          </w:tcPr>
          <w:p>
            <w:pPr>
              <w:pStyle w:val="Normal"/>
              <w:tabs>
                <w:tab w:val="clear" w:pos="720"/>
                <w:tab w:val="left" w:pos="2970" w:leader="none"/>
              </w:tabs>
              <w:rPr>
                <w:i/>
                <w:i/>
                <w:iCs/>
                <w:color w:val="000000"/>
              </w:rPr>
            </w:pPr>
            <w:r>
              <w:rPr>
                <w:i/>
                <w:iCs/>
                <w:color w:val="000000"/>
              </w:rPr>
              <w:t>Reg Unl Gas</w:t>
            </w:r>
          </w:p>
        </w:tc>
        <w:tc>
          <w:tcPr>
            <w:tcW w:w="1080" w:type="dxa"/>
            <w:tcBorders/>
          </w:tcPr>
          <w:p>
            <w:pPr>
              <w:pStyle w:val="Normal"/>
              <w:tabs>
                <w:tab w:val="clear" w:pos="720"/>
                <w:tab w:val="left" w:pos="2970" w:leader="none"/>
              </w:tabs>
              <w:rPr>
                <w:i/>
                <w:i/>
                <w:iCs/>
                <w:color w:val="000000"/>
              </w:rPr>
            </w:pPr>
            <w:r>
              <w:rPr>
                <w:i/>
                <w:iCs/>
                <w:color w:val="000000"/>
              </w:rPr>
              <w:t>Nov 7</w:t>
            </w:r>
          </w:p>
        </w:tc>
        <w:tc>
          <w:tcPr>
            <w:tcW w:w="1350" w:type="dxa"/>
            <w:tcBorders/>
          </w:tcPr>
          <w:p>
            <w:pPr>
              <w:pStyle w:val="Normal"/>
              <w:tabs>
                <w:tab w:val="clear" w:pos="720"/>
                <w:tab w:val="left" w:pos="2970" w:leader="none"/>
              </w:tabs>
              <w:rPr>
                <w:i/>
                <w:i/>
                <w:iCs/>
                <w:color w:val="000000"/>
              </w:rPr>
            </w:pPr>
            <w:r>
              <w:rPr>
                <w:i/>
                <w:iCs/>
                <w:color w:val="000000"/>
              </w:rPr>
              <w:t>Med</w:t>
            </w:r>
          </w:p>
        </w:tc>
        <w:tc>
          <w:tcPr>
            <w:tcW w:w="1350" w:type="dxa"/>
            <w:tcBorders/>
          </w:tcPr>
          <w:p>
            <w:pPr>
              <w:pStyle w:val="Normal"/>
              <w:tabs>
                <w:tab w:val="clear" w:pos="720"/>
                <w:tab w:val="left" w:pos="2970" w:leader="none"/>
              </w:tabs>
              <w:rPr>
                <w:i/>
                <w:i/>
                <w:iCs/>
                <w:color w:val="000000"/>
              </w:rPr>
            </w:pPr>
            <w:r>
              <w:rPr>
                <w:i/>
                <w:iCs/>
                <w:color w:val="000000"/>
              </w:rPr>
              <w:t>NYH</w:t>
            </w:r>
          </w:p>
        </w:tc>
        <w:tc>
          <w:tcPr>
            <w:tcW w:w="1170" w:type="dxa"/>
            <w:tcBorders/>
          </w:tcPr>
          <w:p>
            <w:pPr>
              <w:pStyle w:val="Normal"/>
              <w:tabs>
                <w:tab w:val="clear" w:pos="720"/>
                <w:tab w:val="left" w:pos="2970" w:leader="none"/>
              </w:tabs>
              <w:jc w:val="center"/>
              <w:rPr>
                <w:i/>
                <w:i/>
                <w:iCs/>
                <w:color w:val="000000"/>
              </w:rPr>
            </w:pPr>
            <w:r>
              <w:rPr>
                <w:i/>
                <w:iCs/>
                <w:color w:val="000000"/>
              </w:rPr>
              <w:t>28.60</w:t>
            </w:r>
          </w:p>
        </w:tc>
        <w:tc>
          <w:tcPr>
            <w:tcW w:w="1360" w:type="dxa"/>
            <w:tcBorders/>
          </w:tcPr>
          <w:p>
            <w:pPr>
              <w:pStyle w:val="Normal"/>
              <w:tabs>
                <w:tab w:val="clear" w:pos="720"/>
                <w:tab w:val="left" w:pos="2970" w:leader="none"/>
              </w:tabs>
              <w:jc w:val="center"/>
              <w:rPr>
                <w:i/>
                <w:i/>
                <w:iCs/>
                <w:color w:val="000000"/>
              </w:rPr>
            </w:pPr>
            <w:r>
              <w:rPr>
                <w:i/>
                <w:iCs/>
                <w:color w:val="000000"/>
              </w:rPr>
              <w:t>28.60</w:t>
            </w:r>
          </w:p>
        </w:tc>
        <w:tc>
          <w:tcPr>
            <w:tcW w:w="1701" w:type="dxa"/>
            <w:tcBorders>
              <w:end w:val="single" w:sz="6" w:space="0" w:color="000000"/>
            </w:tcBorders>
          </w:tcPr>
          <w:p>
            <w:pPr>
              <w:pStyle w:val="Normal"/>
              <w:tabs>
                <w:tab w:val="clear" w:pos="720"/>
                <w:tab w:val="left" w:pos="2970" w:leader="none"/>
              </w:tabs>
              <w:jc w:val="center"/>
              <w:rPr>
                <w:i/>
                <w:i/>
                <w:iCs/>
                <w:color w:val="000000"/>
              </w:rPr>
            </w:pPr>
            <w:r>
              <w:rPr>
                <w:i/>
                <w:iCs/>
                <w:color w:val="000000"/>
              </w:rPr>
              <w:t>21.35</w:t>
            </w:r>
          </w:p>
        </w:tc>
      </w:tr>
      <w:tr>
        <w:trPr>
          <w:trHeight w:val="200" w:hRule="atLeast"/>
        </w:trPr>
        <w:tc>
          <w:tcPr>
            <w:tcW w:w="3060" w:type="dxa"/>
            <w:tcBorders>
              <w:start w:val="single" w:sz="6" w:space="0" w:color="000000"/>
              <w:bottom w:val="single" w:sz="6" w:space="0" w:color="000000"/>
            </w:tcBorders>
          </w:tcPr>
          <w:p>
            <w:pPr>
              <w:pStyle w:val="Normal"/>
              <w:tabs>
                <w:tab w:val="clear" w:pos="720"/>
                <w:tab w:val="left" w:pos="2970" w:leader="none"/>
              </w:tabs>
              <w:rPr/>
            </w:pPr>
            <w:r>
              <w:rPr/>
              <w:t xml:space="preserve">      </w:t>
            </w:r>
            <w:r>
              <w:rPr>
                <w:i/>
                <w:iCs/>
                <w:color w:val="000000"/>
              </w:rPr>
              <w:t># Exit these trades</w:t>
            </w:r>
          </w:p>
        </w:tc>
        <w:tc>
          <w:tcPr>
            <w:tcW w:w="1080" w:type="dxa"/>
            <w:tcBorders>
              <w:bottom w:val="single" w:sz="6" w:space="0" w:color="000000"/>
            </w:tcBorders>
          </w:tcPr>
          <w:p>
            <w:pPr>
              <w:pStyle w:val="Normal"/>
              <w:tabs>
                <w:tab w:val="clear" w:pos="720"/>
                <w:tab w:val="left" w:pos="2970" w:leader="none"/>
              </w:tabs>
              <w:snapToGrid w:val="false"/>
              <w:rPr>
                <w:i/>
                <w:i/>
                <w:iCs/>
                <w:color w:val="000000"/>
              </w:rPr>
            </w:pPr>
            <w:r>
              <w:rPr>
                <w:i/>
                <w:iCs/>
                <w:color w:val="000000"/>
              </w:rPr>
            </w:r>
          </w:p>
        </w:tc>
        <w:tc>
          <w:tcPr>
            <w:tcW w:w="1350" w:type="dxa"/>
            <w:tcBorders>
              <w:bottom w:val="single" w:sz="6" w:space="0" w:color="000000"/>
            </w:tcBorders>
          </w:tcPr>
          <w:p>
            <w:pPr>
              <w:pStyle w:val="Normal"/>
              <w:tabs>
                <w:tab w:val="clear" w:pos="720"/>
                <w:tab w:val="left" w:pos="2970" w:leader="none"/>
              </w:tabs>
              <w:snapToGrid w:val="false"/>
              <w:rPr>
                <w:i/>
                <w:i/>
                <w:iCs/>
                <w:color w:val="000000"/>
              </w:rPr>
            </w:pPr>
            <w:r>
              <w:rPr>
                <w:i/>
                <w:iCs/>
                <w:color w:val="000000"/>
              </w:rPr>
            </w:r>
          </w:p>
        </w:tc>
        <w:tc>
          <w:tcPr>
            <w:tcW w:w="1350" w:type="dxa"/>
            <w:tcBorders>
              <w:bottom w:val="single" w:sz="6" w:space="0" w:color="000000"/>
            </w:tcBorders>
          </w:tcPr>
          <w:p>
            <w:pPr>
              <w:pStyle w:val="Normal"/>
              <w:tabs>
                <w:tab w:val="clear" w:pos="720"/>
                <w:tab w:val="left" w:pos="2970" w:leader="none"/>
              </w:tabs>
              <w:snapToGrid w:val="false"/>
              <w:rPr>
                <w:i/>
                <w:i/>
                <w:iCs/>
                <w:color w:val="000000"/>
              </w:rPr>
            </w:pPr>
            <w:r>
              <w:rPr>
                <w:i/>
                <w:iCs/>
                <w:color w:val="000000"/>
              </w:rPr>
            </w:r>
          </w:p>
        </w:tc>
        <w:tc>
          <w:tcPr>
            <w:tcW w:w="1170" w:type="dxa"/>
            <w:tcBorders>
              <w:bottom w:val="single" w:sz="6" w:space="0" w:color="000000"/>
            </w:tcBorders>
          </w:tcPr>
          <w:p>
            <w:pPr>
              <w:pStyle w:val="Normal"/>
              <w:tabs>
                <w:tab w:val="clear" w:pos="720"/>
                <w:tab w:val="left" w:pos="2970" w:leader="none"/>
              </w:tabs>
              <w:snapToGrid w:val="false"/>
              <w:jc w:val="center"/>
              <w:rPr>
                <w:i/>
                <w:i/>
                <w:iCs/>
                <w:color w:val="000000"/>
              </w:rPr>
            </w:pPr>
            <w:r>
              <w:rPr>
                <w:i/>
                <w:iCs/>
                <w:color w:val="000000"/>
              </w:rPr>
            </w:r>
          </w:p>
        </w:tc>
        <w:tc>
          <w:tcPr>
            <w:tcW w:w="1360" w:type="dxa"/>
            <w:tcBorders>
              <w:bottom w:val="single" w:sz="6" w:space="0" w:color="000000"/>
            </w:tcBorders>
          </w:tcPr>
          <w:p>
            <w:pPr>
              <w:pStyle w:val="Normal"/>
              <w:tabs>
                <w:tab w:val="clear" w:pos="720"/>
                <w:tab w:val="left" w:pos="2970" w:leader="none"/>
              </w:tabs>
              <w:snapToGrid w:val="false"/>
              <w:jc w:val="center"/>
              <w:rPr>
                <w:i/>
                <w:i/>
                <w:iCs/>
                <w:color w:val="000000"/>
              </w:rPr>
            </w:pPr>
            <w:r>
              <w:rPr>
                <w:i/>
                <w:iCs/>
                <w:color w:val="000000"/>
              </w:rPr>
            </w:r>
          </w:p>
        </w:tc>
        <w:tc>
          <w:tcPr>
            <w:tcW w:w="1701" w:type="dxa"/>
            <w:tcBorders>
              <w:bottom w:val="single" w:sz="6" w:space="0" w:color="000000"/>
              <w:end w:val="single" w:sz="6" w:space="0" w:color="000000"/>
            </w:tcBorders>
          </w:tcPr>
          <w:p>
            <w:pPr>
              <w:pStyle w:val="Normal"/>
              <w:tabs>
                <w:tab w:val="clear" w:pos="720"/>
                <w:tab w:val="left" w:pos="2970" w:leader="none"/>
              </w:tabs>
              <w:snapToGrid w:val="false"/>
              <w:jc w:val="center"/>
              <w:rPr>
                <w:i/>
                <w:i/>
                <w:iCs/>
                <w:color w:val="000000"/>
              </w:rPr>
            </w:pPr>
            <w:r>
              <w:rPr>
                <w:i/>
                <w:iCs/>
                <w:color w:val="000000"/>
              </w:rPr>
            </w:r>
          </w:p>
        </w:tc>
      </w:tr>
    </w:tbl>
    <w:p>
      <w:pPr>
        <w:pStyle w:val="Normal"/>
        <w:jc w:val="both"/>
        <w:rPr>
          <w:sz w:val="24"/>
          <w:szCs w:val="24"/>
        </w:rPr>
      </w:pPr>
      <w:r>
        <w:br w:type="page"/>
      </w:r>
      <w:r>
        <w:rPr>
          <w:sz w:val="24"/>
          <w:szCs w:val="24"/>
        </w:rPr>
      </w:r>
    </w:p>
    <w:tbl>
      <w:tblPr>
        <w:tblW w:w="11073" w:type="dxa"/>
        <w:jc w:val="start"/>
        <w:tblInd w:w="-72" w:type="dxa"/>
        <w:tblLayout w:type="fixed"/>
        <w:tblCellMar>
          <w:top w:w="0" w:type="dxa"/>
          <w:start w:w="108" w:type="dxa"/>
          <w:bottom w:w="0" w:type="dxa"/>
          <w:end w:w="108" w:type="dxa"/>
        </w:tblCellMar>
      </w:tblPr>
      <w:tblGrid>
        <w:gridCol w:w="3511"/>
        <w:gridCol w:w="1443"/>
        <w:gridCol w:w="1528"/>
        <w:gridCol w:w="1709"/>
        <w:gridCol w:w="928"/>
        <w:gridCol w:w="980"/>
        <w:gridCol w:w="974"/>
      </w:tblGrid>
      <w:tr>
        <w:trPr>
          <w:trHeight w:val="200" w:hRule="atLeast"/>
        </w:trPr>
        <w:tc>
          <w:tcPr>
            <w:tcW w:w="3511" w:type="dxa"/>
            <w:tcBorders>
              <w:top w:val="single" w:sz="6" w:space="0" w:color="000000"/>
              <w:start w:val="single" w:sz="6" w:space="0" w:color="000000"/>
            </w:tcBorders>
          </w:tcPr>
          <w:p>
            <w:pPr>
              <w:pStyle w:val="Normal"/>
              <w:tabs>
                <w:tab w:val="clear" w:pos="720"/>
                <w:tab w:val="left" w:pos="2970" w:leader="none"/>
              </w:tabs>
              <w:rPr>
                <w:b/>
                <w:bCs/>
                <w:i/>
                <w:i/>
                <w:iCs/>
                <w:color w:val="0000FF"/>
                <w:sz w:val="18"/>
                <w:szCs w:val="18"/>
              </w:rPr>
            </w:pPr>
            <w:bookmarkStart w:id="30" w:name="ProdArbStart"/>
            <w:bookmarkEnd w:id="30"/>
            <w:r>
              <w:rPr>
                <w:b/>
                <w:bCs/>
                <w:sz w:val="18"/>
                <w:szCs w:val="18"/>
              </w:rPr>
              <w:t>PRODUCT ARBITRAGE SPREAD TRADES $/Bbl</w:t>
            </w:r>
          </w:p>
        </w:tc>
        <w:tc>
          <w:tcPr>
            <w:tcW w:w="1443" w:type="dxa"/>
            <w:tcBorders>
              <w:top w:val="single" w:sz="6" w:space="0" w:color="000000"/>
            </w:tcBorders>
          </w:tcPr>
          <w:p>
            <w:pPr>
              <w:pStyle w:val="Normal"/>
              <w:tabs>
                <w:tab w:val="clear" w:pos="720"/>
                <w:tab w:val="left" w:pos="2970" w:leader="none"/>
              </w:tabs>
              <w:rPr>
                <w:i/>
                <w:i/>
                <w:iCs/>
                <w:color w:val="000000"/>
              </w:rPr>
            </w:pPr>
            <w:r>
              <w:rPr>
                <w:b/>
                <w:bCs/>
              </w:rPr>
              <w:t>Rec.</w:t>
            </w:r>
          </w:p>
        </w:tc>
        <w:tc>
          <w:tcPr>
            <w:tcW w:w="1528" w:type="dxa"/>
            <w:tcBorders>
              <w:top w:val="single" w:sz="6" w:space="0" w:color="000000"/>
            </w:tcBorders>
          </w:tcPr>
          <w:p>
            <w:pPr>
              <w:pStyle w:val="Normal"/>
              <w:tabs>
                <w:tab w:val="clear" w:pos="720"/>
                <w:tab w:val="left" w:pos="2970" w:leader="none"/>
              </w:tabs>
              <w:rPr>
                <w:b/>
                <w:bCs/>
              </w:rPr>
            </w:pPr>
            <w:r>
              <w:rPr>
                <w:b/>
                <w:bCs/>
              </w:rPr>
              <w:t>Buy</w:t>
            </w:r>
          </w:p>
          <w:p>
            <w:pPr>
              <w:pStyle w:val="Normal"/>
              <w:tabs>
                <w:tab w:val="clear" w:pos="720"/>
                <w:tab w:val="left" w:pos="2970" w:leader="none"/>
              </w:tabs>
              <w:rPr>
                <w:b/>
                <w:bCs/>
                <w:i/>
                <w:i/>
                <w:iCs/>
                <w:color w:val="000000"/>
              </w:rPr>
            </w:pPr>
            <w:r>
              <w:rPr>
                <w:b/>
                <w:bCs/>
                <w:i/>
                <w:iCs/>
                <w:color w:val="000000"/>
              </w:rPr>
            </w:r>
          </w:p>
        </w:tc>
        <w:tc>
          <w:tcPr>
            <w:tcW w:w="1709" w:type="dxa"/>
            <w:tcBorders>
              <w:top w:val="single" w:sz="6" w:space="0" w:color="000000"/>
            </w:tcBorders>
          </w:tcPr>
          <w:p>
            <w:pPr>
              <w:pStyle w:val="Normal"/>
              <w:tabs>
                <w:tab w:val="clear" w:pos="720"/>
                <w:tab w:val="left" w:pos="2970" w:leader="none"/>
              </w:tabs>
              <w:rPr>
                <w:i/>
                <w:i/>
                <w:iCs/>
                <w:color w:val="000000"/>
              </w:rPr>
            </w:pPr>
            <w:r>
              <w:rPr>
                <w:b/>
                <w:bCs/>
              </w:rPr>
              <w:t>Sell</w:t>
            </w:r>
          </w:p>
        </w:tc>
        <w:tc>
          <w:tcPr>
            <w:tcW w:w="928" w:type="dxa"/>
            <w:tcBorders>
              <w:top w:val="single" w:sz="6" w:space="0" w:color="000000"/>
            </w:tcBorders>
          </w:tcPr>
          <w:p>
            <w:pPr>
              <w:pStyle w:val="Normal"/>
              <w:tabs>
                <w:tab w:val="clear" w:pos="720"/>
                <w:tab w:val="left" w:pos="2970" w:leader="none"/>
              </w:tabs>
              <w:rPr>
                <w:i/>
                <w:i/>
                <w:iCs/>
                <w:color w:val="000000"/>
              </w:rPr>
            </w:pPr>
            <w:r>
              <w:rPr>
                <w:b/>
                <w:bCs/>
              </w:rPr>
              <w:t>First</w:t>
            </w:r>
          </w:p>
        </w:tc>
        <w:tc>
          <w:tcPr>
            <w:tcW w:w="980" w:type="dxa"/>
            <w:tcBorders>
              <w:top w:val="single" w:sz="6" w:space="0" w:color="000000"/>
            </w:tcBorders>
          </w:tcPr>
          <w:p>
            <w:pPr>
              <w:pStyle w:val="Normal"/>
              <w:tabs>
                <w:tab w:val="clear" w:pos="720"/>
                <w:tab w:val="left" w:pos="2970" w:leader="none"/>
              </w:tabs>
              <w:rPr>
                <w:i/>
                <w:i/>
                <w:iCs/>
                <w:color w:val="000000"/>
              </w:rPr>
            </w:pPr>
            <w:r>
              <w:rPr>
                <w:b/>
                <w:bCs/>
              </w:rPr>
              <w:t>AVG</w:t>
            </w:r>
          </w:p>
        </w:tc>
        <w:tc>
          <w:tcPr>
            <w:tcW w:w="974" w:type="dxa"/>
            <w:tcBorders>
              <w:top w:val="single" w:sz="6" w:space="0" w:color="000000"/>
              <w:end w:val="single" w:sz="6" w:space="0" w:color="000000"/>
            </w:tcBorders>
          </w:tcPr>
          <w:p>
            <w:pPr>
              <w:pStyle w:val="Normal"/>
              <w:tabs>
                <w:tab w:val="clear" w:pos="720"/>
                <w:tab w:val="left" w:pos="2970" w:leader="none"/>
              </w:tabs>
              <w:rPr>
                <w:i/>
                <w:i/>
                <w:iCs/>
                <w:color w:val="000000"/>
              </w:rPr>
            </w:pPr>
            <w:r>
              <w:rPr>
                <w:b/>
                <w:bCs/>
              </w:rPr>
              <w:t>Today</w:t>
            </w:r>
          </w:p>
        </w:tc>
      </w:tr>
      <w:tr>
        <w:trPr>
          <w:trHeight w:val="200" w:hRule="atLeast"/>
        </w:trPr>
        <w:tc>
          <w:tcPr>
            <w:tcW w:w="3511" w:type="dxa"/>
            <w:tcBorders>
              <w:start w:val="single" w:sz="6" w:space="0" w:color="000000"/>
            </w:tcBorders>
          </w:tcPr>
          <w:p>
            <w:pPr>
              <w:pStyle w:val="Normal"/>
              <w:tabs>
                <w:tab w:val="clear" w:pos="720"/>
                <w:tab w:val="left" w:pos="2970" w:leader="none"/>
              </w:tabs>
              <w:rPr>
                <w:i/>
                <w:i/>
                <w:iCs/>
                <w:color w:val="0000FF"/>
              </w:rPr>
            </w:pPr>
            <w:r>
              <w:rPr>
                <w:i/>
                <w:iCs/>
                <w:color w:val="0000FF"/>
              </w:rPr>
              <w:t>Trade Watch</w:t>
            </w:r>
          </w:p>
        </w:tc>
        <w:tc>
          <w:tcPr>
            <w:tcW w:w="1443" w:type="dxa"/>
            <w:tcBorders/>
          </w:tcPr>
          <w:p>
            <w:pPr>
              <w:pStyle w:val="Normal"/>
              <w:tabs>
                <w:tab w:val="clear" w:pos="720"/>
                <w:tab w:val="left" w:pos="2970" w:leader="none"/>
              </w:tabs>
              <w:snapToGrid w:val="false"/>
              <w:rPr>
                <w:i/>
                <w:i/>
                <w:iCs/>
                <w:color w:val="0000FF"/>
              </w:rPr>
            </w:pPr>
            <w:r>
              <w:rPr>
                <w:i/>
                <w:iCs/>
                <w:color w:val="0000FF"/>
              </w:rPr>
            </w:r>
          </w:p>
        </w:tc>
        <w:tc>
          <w:tcPr>
            <w:tcW w:w="1528" w:type="dxa"/>
            <w:tcBorders/>
          </w:tcPr>
          <w:p>
            <w:pPr>
              <w:pStyle w:val="Normal"/>
              <w:tabs>
                <w:tab w:val="clear" w:pos="720"/>
                <w:tab w:val="left" w:pos="2970" w:leader="none"/>
              </w:tabs>
              <w:snapToGrid w:val="false"/>
              <w:rPr>
                <w:i/>
                <w:i/>
                <w:iCs/>
                <w:color w:val="0000FF"/>
              </w:rPr>
            </w:pPr>
            <w:r>
              <w:rPr>
                <w:i/>
                <w:iCs/>
                <w:color w:val="0000FF"/>
              </w:rPr>
            </w:r>
          </w:p>
        </w:tc>
        <w:tc>
          <w:tcPr>
            <w:tcW w:w="1709" w:type="dxa"/>
            <w:tcBorders/>
          </w:tcPr>
          <w:p>
            <w:pPr>
              <w:pStyle w:val="Normal"/>
              <w:tabs>
                <w:tab w:val="clear" w:pos="720"/>
                <w:tab w:val="left" w:pos="2970" w:leader="none"/>
              </w:tabs>
              <w:snapToGrid w:val="false"/>
              <w:rPr>
                <w:i/>
                <w:i/>
                <w:iCs/>
                <w:color w:val="0000FF"/>
              </w:rPr>
            </w:pPr>
            <w:r>
              <w:rPr>
                <w:i/>
                <w:iCs/>
                <w:color w:val="0000FF"/>
              </w:rPr>
            </w:r>
          </w:p>
        </w:tc>
        <w:tc>
          <w:tcPr>
            <w:tcW w:w="928" w:type="dxa"/>
            <w:tcBorders/>
          </w:tcPr>
          <w:p>
            <w:pPr>
              <w:pStyle w:val="Normal"/>
              <w:tabs>
                <w:tab w:val="clear" w:pos="720"/>
                <w:tab w:val="left" w:pos="2970" w:leader="none"/>
              </w:tabs>
              <w:snapToGrid w:val="false"/>
              <w:jc w:val="center"/>
              <w:rPr>
                <w:i/>
                <w:i/>
                <w:iCs/>
                <w:color w:val="0000FF"/>
              </w:rPr>
            </w:pPr>
            <w:r>
              <w:rPr>
                <w:i/>
                <w:iCs/>
                <w:color w:val="0000FF"/>
              </w:rPr>
            </w:r>
          </w:p>
        </w:tc>
        <w:tc>
          <w:tcPr>
            <w:tcW w:w="980" w:type="dxa"/>
            <w:tcBorders/>
          </w:tcPr>
          <w:p>
            <w:pPr>
              <w:pStyle w:val="Normal"/>
              <w:tabs>
                <w:tab w:val="clear" w:pos="720"/>
                <w:tab w:val="left" w:pos="2970" w:leader="none"/>
              </w:tabs>
              <w:snapToGrid w:val="false"/>
              <w:jc w:val="center"/>
              <w:rPr>
                <w:i/>
                <w:i/>
                <w:iCs/>
                <w:color w:val="0000FF"/>
              </w:rPr>
            </w:pPr>
            <w:r>
              <w:rPr>
                <w:i/>
                <w:iCs/>
                <w:color w:val="0000FF"/>
              </w:rPr>
            </w:r>
          </w:p>
        </w:tc>
        <w:tc>
          <w:tcPr>
            <w:tcW w:w="974" w:type="dxa"/>
            <w:tcBorders>
              <w:end w:val="single" w:sz="6" w:space="0" w:color="000000"/>
            </w:tcBorders>
          </w:tcPr>
          <w:p>
            <w:pPr>
              <w:pStyle w:val="Normal"/>
              <w:tabs>
                <w:tab w:val="clear" w:pos="720"/>
                <w:tab w:val="left" w:pos="2970" w:leader="none"/>
              </w:tabs>
              <w:snapToGrid w:val="false"/>
              <w:jc w:val="center"/>
              <w:rPr>
                <w:i/>
                <w:i/>
                <w:iCs/>
                <w:color w:val="0000FF"/>
              </w:rPr>
            </w:pPr>
            <w:r>
              <w:rPr>
                <w:i/>
                <w:iCs/>
                <w:color w:val="0000FF"/>
              </w:rPr>
            </w:r>
          </w:p>
        </w:tc>
      </w:tr>
      <w:tr>
        <w:trPr>
          <w:trHeight w:val="200" w:hRule="atLeast"/>
        </w:trPr>
        <w:tc>
          <w:tcPr>
            <w:tcW w:w="3511" w:type="dxa"/>
            <w:tcBorders>
              <w:start w:val="single" w:sz="6" w:space="0" w:color="000000"/>
            </w:tcBorders>
          </w:tcPr>
          <w:p>
            <w:pPr>
              <w:pStyle w:val="Normal"/>
              <w:tabs>
                <w:tab w:val="clear" w:pos="720"/>
                <w:tab w:val="left" w:pos="2970" w:leader="none"/>
              </w:tabs>
              <w:rPr>
                <w:i/>
                <w:i/>
                <w:iCs/>
                <w:color w:val="0000FF"/>
              </w:rPr>
            </w:pPr>
            <w:r>
              <w:rPr>
                <w:i/>
                <w:iCs/>
                <w:color w:val="0000FF"/>
              </w:rPr>
              <w:t>None</w:t>
            </w:r>
          </w:p>
        </w:tc>
        <w:tc>
          <w:tcPr>
            <w:tcW w:w="1443" w:type="dxa"/>
            <w:tcBorders/>
          </w:tcPr>
          <w:p>
            <w:pPr>
              <w:pStyle w:val="Normal"/>
              <w:tabs>
                <w:tab w:val="clear" w:pos="720"/>
                <w:tab w:val="left" w:pos="2970" w:leader="none"/>
              </w:tabs>
              <w:snapToGrid w:val="false"/>
              <w:rPr>
                <w:i/>
                <w:i/>
                <w:iCs/>
                <w:color w:val="0000FF"/>
              </w:rPr>
            </w:pPr>
            <w:r>
              <w:rPr>
                <w:i/>
                <w:iCs/>
                <w:color w:val="0000FF"/>
              </w:rPr>
            </w:r>
          </w:p>
        </w:tc>
        <w:tc>
          <w:tcPr>
            <w:tcW w:w="1528" w:type="dxa"/>
            <w:tcBorders/>
          </w:tcPr>
          <w:p>
            <w:pPr>
              <w:pStyle w:val="Normal"/>
              <w:tabs>
                <w:tab w:val="clear" w:pos="720"/>
                <w:tab w:val="left" w:pos="2970" w:leader="none"/>
              </w:tabs>
              <w:snapToGrid w:val="false"/>
              <w:rPr>
                <w:i/>
                <w:i/>
                <w:iCs/>
                <w:color w:val="0000FF"/>
              </w:rPr>
            </w:pPr>
            <w:r>
              <w:rPr>
                <w:i/>
                <w:iCs/>
                <w:color w:val="0000FF"/>
              </w:rPr>
            </w:r>
          </w:p>
        </w:tc>
        <w:tc>
          <w:tcPr>
            <w:tcW w:w="1709" w:type="dxa"/>
            <w:tcBorders/>
          </w:tcPr>
          <w:p>
            <w:pPr>
              <w:pStyle w:val="Normal"/>
              <w:tabs>
                <w:tab w:val="clear" w:pos="720"/>
                <w:tab w:val="left" w:pos="2970" w:leader="none"/>
              </w:tabs>
              <w:snapToGrid w:val="false"/>
              <w:rPr>
                <w:i/>
                <w:i/>
                <w:iCs/>
                <w:color w:val="0000FF"/>
              </w:rPr>
            </w:pPr>
            <w:r>
              <w:rPr>
                <w:i/>
                <w:iCs/>
                <w:color w:val="0000FF"/>
              </w:rPr>
            </w:r>
          </w:p>
        </w:tc>
        <w:tc>
          <w:tcPr>
            <w:tcW w:w="928" w:type="dxa"/>
            <w:tcBorders/>
          </w:tcPr>
          <w:p>
            <w:pPr>
              <w:pStyle w:val="Normal"/>
              <w:tabs>
                <w:tab w:val="clear" w:pos="720"/>
                <w:tab w:val="left" w:pos="2970" w:leader="none"/>
              </w:tabs>
              <w:snapToGrid w:val="false"/>
              <w:jc w:val="center"/>
              <w:rPr>
                <w:i/>
                <w:i/>
                <w:iCs/>
                <w:color w:val="0000FF"/>
              </w:rPr>
            </w:pPr>
            <w:r>
              <w:rPr>
                <w:i/>
                <w:iCs/>
                <w:color w:val="0000FF"/>
              </w:rPr>
            </w:r>
          </w:p>
        </w:tc>
        <w:tc>
          <w:tcPr>
            <w:tcW w:w="980" w:type="dxa"/>
            <w:tcBorders/>
          </w:tcPr>
          <w:p>
            <w:pPr>
              <w:pStyle w:val="Normal"/>
              <w:tabs>
                <w:tab w:val="clear" w:pos="720"/>
                <w:tab w:val="left" w:pos="2970" w:leader="none"/>
              </w:tabs>
              <w:snapToGrid w:val="false"/>
              <w:jc w:val="center"/>
              <w:rPr>
                <w:i/>
                <w:i/>
                <w:iCs/>
                <w:color w:val="0000FF"/>
              </w:rPr>
            </w:pPr>
            <w:r>
              <w:rPr>
                <w:i/>
                <w:iCs/>
                <w:color w:val="0000FF"/>
              </w:rPr>
            </w:r>
          </w:p>
        </w:tc>
        <w:tc>
          <w:tcPr>
            <w:tcW w:w="974" w:type="dxa"/>
            <w:tcBorders>
              <w:end w:val="single" w:sz="6" w:space="0" w:color="000000"/>
            </w:tcBorders>
          </w:tcPr>
          <w:p>
            <w:pPr>
              <w:pStyle w:val="Normal"/>
              <w:tabs>
                <w:tab w:val="clear" w:pos="720"/>
                <w:tab w:val="left" w:pos="2970" w:leader="none"/>
              </w:tabs>
              <w:snapToGrid w:val="false"/>
              <w:jc w:val="center"/>
              <w:rPr>
                <w:i/>
                <w:i/>
                <w:iCs/>
                <w:color w:val="0000FF"/>
              </w:rPr>
            </w:pPr>
            <w:r>
              <w:rPr>
                <w:i/>
                <w:iCs/>
                <w:color w:val="0000FF"/>
              </w:rPr>
            </w:r>
          </w:p>
        </w:tc>
      </w:tr>
      <w:tr>
        <w:trPr>
          <w:trHeight w:val="200" w:hRule="atLeast"/>
        </w:trPr>
        <w:tc>
          <w:tcPr>
            <w:tcW w:w="3511" w:type="dxa"/>
            <w:tcBorders>
              <w:start w:val="single" w:sz="6" w:space="0" w:color="000000"/>
            </w:tcBorders>
          </w:tcPr>
          <w:p>
            <w:pPr>
              <w:pStyle w:val="Normal"/>
              <w:tabs>
                <w:tab w:val="clear" w:pos="720"/>
                <w:tab w:val="left" w:pos="2970" w:leader="none"/>
              </w:tabs>
              <w:rPr>
                <w:i/>
                <w:i/>
                <w:iCs/>
                <w:color w:val="008000"/>
              </w:rPr>
            </w:pPr>
            <w:r>
              <w:rPr>
                <w:i/>
                <w:iCs/>
                <w:color w:val="008000"/>
              </w:rPr>
              <w:t>Trades Added Today</w:t>
            </w:r>
          </w:p>
        </w:tc>
        <w:tc>
          <w:tcPr>
            <w:tcW w:w="1443" w:type="dxa"/>
            <w:tcBorders/>
          </w:tcPr>
          <w:p>
            <w:pPr>
              <w:pStyle w:val="Normal"/>
              <w:tabs>
                <w:tab w:val="clear" w:pos="720"/>
                <w:tab w:val="left" w:pos="2970" w:leader="none"/>
              </w:tabs>
              <w:snapToGrid w:val="false"/>
              <w:rPr>
                <w:i/>
                <w:i/>
                <w:iCs/>
                <w:color w:val="008000"/>
              </w:rPr>
            </w:pPr>
            <w:r>
              <w:rPr>
                <w:i/>
                <w:iCs/>
                <w:color w:val="008000"/>
              </w:rPr>
            </w:r>
          </w:p>
        </w:tc>
        <w:tc>
          <w:tcPr>
            <w:tcW w:w="1528" w:type="dxa"/>
            <w:tcBorders/>
          </w:tcPr>
          <w:p>
            <w:pPr>
              <w:pStyle w:val="Normal"/>
              <w:tabs>
                <w:tab w:val="clear" w:pos="720"/>
                <w:tab w:val="left" w:pos="2970" w:leader="none"/>
              </w:tabs>
              <w:snapToGrid w:val="false"/>
              <w:rPr>
                <w:i/>
                <w:i/>
                <w:iCs/>
                <w:color w:val="008000"/>
              </w:rPr>
            </w:pPr>
            <w:r>
              <w:rPr>
                <w:i/>
                <w:iCs/>
                <w:color w:val="008000"/>
              </w:rPr>
            </w:r>
          </w:p>
        </w:tc>
        <w:tc>
          <w:tcPr>
            <w:tcW w:w="1709" w:type="dxa"/>
            <w:tcBorders/>
          </w:tcPr>
          <w:p>
            <w:pPr>
              <w:pStyle w:val="Normal"/>
              <w:tabs>
                <w:tab w:val="clear" w:pos="720"/>
                <w:tab w:val="left" w:pos="2970" w:leader="none"/>
              </w:tabs>
              <w:snapToGrid w:val="false"/>
              <w:rPr>
                <w:i/>
                <w:i/>
                <w:iCs/>
                <w:color w:val="008000"/>
              </w:rPr>
            </w:pPr>
            <w:r>
              <w:rPr>
                <w:i/>
                <w:iCs/>
                <w:color w:val="008000"/>
              </w:rPr>
            </w:r>
          </w:p>
        </w:tc>
        <w:tc>
          <w:tcPr>
            <w:tcW w:w="928" w:type="dxa"/>
            <w:tcBorders/>
          </w:tcPr>
          <w:p>
            <w:pPr>
              <w:pStyle w:val="Normal"/>
              <w:tabs>
                <w:tab w:val="clear" w:pos="720"/>
                <w:tab w:val="left" w:pos="2970" w:leader="none"/>
              </w:tabs>
              <w:snapToGrid w:val="false"/>
              <w:jc w:val="center"/>
              <w:rPr>
                <w:i/>
                <w:i/>
                <w:iCs/>
                <w:color w:val="008000"/>
              </w:rPr>
            </w:pPr>
            <w:r>
              <w:rPr>
                <w:i/>
                <w:iCs/>
                <w:color w:val="008000"/>
              </w:rPr>
            </w:r>
          </w:p>
        </w:tc>
        <w:tc>
          <w:tcPr>
            <w:tcW w:w="980" w:type="dxa"/>
            <w:tcBorders/>
          </w:tcPr>
          <w:p>
            <w:pPr>
              <w:pStyle w:val="Normal"/>
              <w:tabs>
                <w:tab w:val="clear" w:pos="720"/>
                <w:tab w:val="left" w:pos="2970" w:leader="none"/>
              </w:tabs>
              <w:snapToGrid w:val="false"/>
              <w:jc w:val="center"/>
              <w:rPr>
                <w:i/>
                <w:i/>
                <w:iCs/>
                <w:color w:val="008000"/>
              </w:rPr>
            </w:pPr>
            <w:r>
              <w:rPr>
                <w:i/>
                <w:iCs/>
                <w:color w:val="008000"/>
              </w:rPr>
            </w:r>
          </w:p>
        </w:tc>
        <w:tc>
          <w:tcPr>
            <w:tcW w:w="974" w:type="dxa"/>
            <w:tcBorders>
              <w:end w:val="single" w:sz="6" w:space="0" w:color="000000"/>
            </w:tcBorders>
          </w:tcPr>
          <w:p>
            <w:pPr>
              <w:pStyle w:val="Normal"/>
              <w:tabs>
                <w:tab w:val="clear" w:pos="720"/>
                <w:tab w:val="left" w:pos="2970" w:leader="none"/>
              </w:tabs>
              <w:snapToGrid w:val="false"/>
              <w:jc w:val="center"/>
              <w:rPr>
                <w:i/>
                <w:i/>
                <w:iCs/>
                <w:color w:val="008000"/>
              </w:rPr>
            </w:pPr>
            <w:r>
              <w:rPr>
                <w:i/>
                <w:iCs/>
                <w:color w:val="008000"/>
              </w:rPr>
            </w:r>
          </w:p>
        </w:tc>
      </w:tr>
      <w:tr>
        <w:trPr>
          <w:trHeight w:val="200" w:hRule="atLeast"/>
        </w:trPr>
        <w:tc>
          <w:tcPr>
            <w:tcW w:w="3511" w:type="dxa"/>
            <w:tcBorders>
              <w:start w:val="single" w:sz="6" w:space="0" w:color="000000"/>
            </w:tcBorders>
          </w:tcPr>
          <w:p>
            <w:pPr>
              <w:pStyle w:val="Normal"/>
              <w:tabs>
                <w:tab w:val="clear" w:pos="720"/>
                <w:tab w:val="left" w:pos="2970" w:leader="none"/>
              </w:tabs>
              <w:rPr>
                <w:i/>
                <w:i/>
                <w:iCs/>
                <w:color w:val="008000"/>
              </w:rPr>
            </w:pPr>
            <w:r>
              <w:rPr>
                <w:i/>
                <w:iCs/>
                <w:color w:val="008000"/>
              </w:rPr>
              <w:t>Spore</w:t>
            </w:r>
          </w:p>
        </w:tc>
        <w:tc>
          <w:tcPr>
            <w:tcW w:w="1443" w:type="dxa"/>
            <w:tcBorders/>
          </w:tcPr>
          <w:p>
            <w:pPr>
              <w:pStyle w:val="Normal"/>
              <w:tabs>
                <w:tab w:val="clear" w:pos="720"/>
                <w:tab w:val="left" w:pos="2970" w:leader="none"/>
              </w:tabs>
              <w:rPr>
                <w:i/>
                <w:i/>
                <w:iCs/>
                <w:color w:val="008000"/>
              </w:rPr>
            </w:pPr>
            <w:r>
              <w:rPr>
                <w:i/>
                <w:iCs/>
                <w:color w:val="008000"/>
              </w:rPr>
              <w:t>Nov 8</w:t>
            </w:r>
          </w:p>
        </w:tc>
        <w:tc>
          <w:tcPr>
            <w:tcW w:w="1528" w:type="dxa"/>
            <w:tcBorders/>
          </w:tcPr>
          <w:p>
            <w:pPr>
              <w:pStyle w:val="Normal"/>
              <w:tabs>
                <w:tab w:val="clear" w:pos="720"/>
                <w:tab w:val="left" w:pos="2970" w:leader="none"/>
              </w:tabs>
              <w:rPr>
                <w:i/>
                <w:i/>
                <w:iCs/>
                <w:color w:val="008000"/>
              </w:rPr>
            </w:pPr>
            <w:r>
              <w:rPr>
                <w:i/>
                <w:iCs/>
                <w:color w:val="008000"/>
              </w:rPr>
              <w:t>Naphtha fob</w:t>
            </w:r>
          </w:p>
        </w:tc>
        <w:tc>
          <w:tcPr>
            <w:tcW w:w="1709" w:type="dxa"/>
            <w:tcBorders/>
          </w:tcPr>
          <w:p>
            <w:pPr>
              <w:pStyle w:val="Normal"/>
              <w:tabs>
                <w:tab w:val="clear" w:pos="720"/>
                <w:tab w:val="left" w:pos="2970" w:leader="none"/>
              </w:tabs>
              <w:rPr>
                <w:i/>
                <w:i/>
                <w:iCs/>
                <w:color w:val="008000"/>
              </w:rPr>
            </w:pPr>
            <w:r>
              <w:rPr>
                <w:i/>
                <w:iCs/>
                <w:color w:val="008000"/>
              </w:rPr>
              <w:t>Naphtha paper 1</w:t>
            </w:r>
          </w:p>
        </w:tc>
        <w:tc>
          <w:tcPr>
            <w:tcW w:w="928" w:type="dxa"/>
            <w:tcBorders/>
          </w:tcPr>
          <w:p>
            <w:pPr>
              <w:pStyle w:val="Normal"/>
              <w:tabs>
                <w:tab w:val="clear" w:pos="720"/>
                <w:tab w:val="left" w:pos="2970" w:leader="none"/>
              </w:tabs>
              <w:jc w:val="center"/>
              <w:rPr>
                <w:i/>
                <w:i/>
                <w:iCs/>
                <w:color w:val="008000"/>
              </w:rPr>
            </w:pPr>
            <w:r>
              <w:rPr>
                <w:i/>
                <w:iCs/>
                <w:color w:val="008000"/>
              </w:rPr>
              <w:t>*</w:t>
            </w:r>
          </w:p>
        </w:tc>
        <w:tc>
          <w:tcPr>
            <w:tcW w:w="980" w:type="dxa"/>
            <w:tcBorders/>
          </w:tcPr>
          <w:p>
            <w:pPr>
              <w:pStyle w:val="Normal"/>
              <w:tabs>
                <w:tab w:val="clear" w:pos="720"/>
                <w:tab w:val="left" w:pos="2970" w:leader="none"/>
              </w:tabs>
              <w:jc w:val="center"/>
              <w:rPr>
                <w:i/>
                <w:i/>
                <w:iCs/>
                <w:color w:val="008000"/>
              </w:rPr>
            </w:pPr>
            <w:r>
              <w:rPr>
                <w:i/>
                <w:iCs/>
                <w:color w:val="008000"/>
              </w:rPr>
              <w:t>0.60</w:t>
            </w:r>
          </w:p>
        </w:tc>
        <w:tc>
          <w:tcPr>
            <w:tcW w:w="974" w:type="dxa"/>
            <w:tcBorders>
              <w:end w:val="single" w:sz="6" w:space="0" w:color="000000"/>
            </w:tcBorders>
          </w:tcPr>
          <w:p>
            <w:pPr>
              <w:pStyle w:val="Normal"/>
              <w:tabs>
                <w:tab w:val="clear" w:pos="720"/>
                <w:tab w:val="left" w:pos="2970" w:leader="none"/>
              </w:tabs>
              <w:jc w:val="center"/>
              <w:rPr>
                <w:i/>
                <w:i/>
                <w:iCs/>
                <w:color w:val="008000"/>
              </w:rPr>
            </w:pPr>
            <w:r>
              <w:rPr>
                <w:i/>
                <w:iCs/>
                <w:color w:val="008000"/>
              </w:rPr>
              <w:t>-0.15</w:t>
            </w:r>
          </w:p>
        </w:tc>
      </w:tr>
      <w:tr>
        <w:trPr>
          <w:trHeight w:val="200" w:hRule="atLeast"/>
        </w:trPr>
        <w:tc>
          <w:tcPr>
            <w:tcW w:w="3511" w:type="dxa"/>
            <w:tcBorders>
              <w:start w:val="single" w:sz="6" w:space="0" w:color="000000"/>
            </w:tcBorders>
          </w:tcPr>
          <w:p>
            <w:pPr>
              <w:pStyle w:val="Normal"/>
              <w:rPr>
                <w:i/>
                <w:i/>
                <w:iCs/>
                <w:color w:val="000000"/>
              </w:rPr>
            </w:pPr>
            <w:r>
              <w:rPr>
                <w:i/>
                <w:iCs/>
                <w:color w:val="000000"/>
              </w:rPr>
              <w:t>Previous Recommendations</w:t>
            </w:r>
          </w:p>
        </w:tc>
        <w:tc>
          <w:tcPr>
            <w:tcW w:w="1443" w:type="dxa"/>
            <w:tcBorders/>
          </w:tcPr>
          <w:p>
            <w:pPr>
              <w:pStyle w:val="Normal"/>
              <w:snapToGrid w:val="false"/>
              <w:rPr>
                <w:i/>
                <w:i/>
                <w:iCs/>
                <w:color w:val="000000"/>
              </w:rPr>
            </w:pPr>
            <w:r>
              <w:rPr>
                <w:i/>
                <w:iCs/>
                <w:color w:val="000000"/>
              </w:rPr>
            </w:r>
          </w:p>
        </w:tc>
        <w:tc>
          <w:tcPr>
            <w:tcW w:w="1528" w:type="dxa"/>
            <w:tcBorders/>
          </w:tcPr>
          <w:p>
            <w:pPr>
              <w:pStyle w:val="Normal"/>
              <w:snapToGrid w:val="false"/>
              <w:rPr>
                <w:i/>
                <w:i/>
                <w:iCs/>
                <w:color w:val="000000"/>
              </w:rPr>
            </w:pPr>
            <w:r>
              <w:rPr>
                <w:i/>
                <w:iCs/>
                <w:color w:val="000000"/>
              </w:rPr>
            </w:r>
          </w:p>
        </w:tc>
        <w:tc>
          <w:tcPr>
            <w:tcW w:w="1709" w:type="dxa"/>
            <w:tcBorders/>
          </w:tcPr>
          <w:p>
            <w:pPr>
              <w:pStyle w:val="Normal"/>
              <w:snapToGrid w:val="false"/>
              <w:rPr>
                <w:i/>
                <w:i/>
                <w:iCs/>
                <w:color w:val="000000"/>
              </w:rPr>
            </w:pPr>
            <w:r>
              <w:rPr>
                <w:i/>
                <w:iCs/>
                <w:color w:val="000000"/>
              </w:rPr>
            </w:r>
          </w:p>
        </w:tc>
        <w:tc>
          <w:tcPr>
            <w:tcW w:w="928" w:type="dxa"/>
            <w:tcBorders/>
          </w:tcPr>
          <w:p>
            <w:pPr>
              <w:pStyle w:val="Normal"/>
              <w:snapToGrid w:val="false"/>
              <w:jc w:val="center"/>
              <w:rPr>
                <w:i/>
                <w:i/>
                <w:iCs/>
                <w:color w:val="000000"/>
              </w:rPr>
            </w:pPr>
            <w:r>
              <w:rPr>
                <w:i/>
                <w:iCs/>
                <w:color w:val="000000"/>
              </w:rPr>
            </w:r>
          </w:p>
        </w:tc>
        <w:tc>
          <w:tcPr>
            <w:tcW w:w="980" w:type="dxa"/>
            <w:tcBorders/>
          </w:tcPr>
          <w:p>
            <w:pPr>
              <w:pStyle w:val="Normal"/>
              <w:snapToGrid w:val="false"/>
              <w:jc w:val="center"/>
              <w:rPr>
                <w:i/>
                <w:i/>
                <w:iCs/>
                <w:color w:val="000000"/>
              </w:rPr>
            </w:pPr>
            <w:r>
              <w:rPr>
                <w:i/>
                <w:iCs/>
                <w:color w:val="000000"/>
              </w:rPr>
            </w:r>
          </w:p>
        </w:tc>
        <w:tc>
          <w:tcPr>
            <w:tcW w:w="974" w:type="dxa"/>
            <w:tcBorders>
              <w:end w:val="single" w:sz="6" w:space="0" w:color="000000"/>
            </w:tcBorders>
          </w:tcPr>
          <w:p>
            <w:pPr>
              <w:pStyle w:val="Normal"/>
              <w:tabs>
                <w:tab w:val="clear" w:pos="720"/>
                <w:tab w:val="left" w:pos="403" w:leader="none"/>
              </w:tabs>
              <w:snapToGrid w:val="false"/>
              <w:jc w:val="center"/>
              <w:rPr>
                <w:i/>
                <w:i/>
                <w:iCs/>
                <w:color w:val="000000"/>
              </w:rPr>
            </w:pPr>
            <w:r>
              <w:rPr>
                <w:i/>
                <w:iCs/>
                <w:color w:val="000000"/>
              </w:rPr>
            </w:r>
          </w:p>
        </w:tc>
      </w:tr>
      <w:tr>
        <w:trPr>
          <w:trHeight w:val="200" w:hRule="atLeast"/>
        </w:trPr>
        <w:tc>
          <w:tcPr>
            <w:tcW w:w="3511" w:type="dxa"/>
            <w:tcBorders>
              <w:start w:val="single" w:sz="6" w:space="0" w:color="000000"/>
            </w:tcBorders>
          </w:tcPr>
          <w:p>
            <w:pPr>
              <w:pStyle w:val="Normal"/>
              <w:tabs>
                <w:tab w:val="clear" w:pos="720"/>
                <w:tab w:val="left" w:pos="2970" w:leader="none"/>
              </w:tabs>
              <w:rPr>
                <w:i/>
                <w:i/>
                <w:iCs/>
                <w:color w:val="000000"/>
              </w:rPr>
            </w:pPr>
            <w:r>
              <w:rPr>
                <w:i/>
                <w:iCs/>
                <w:color w:val="000000"/>
              </w:rPr>
              <w:t>NYMEX</w:t>
            </w:r>
          </w:p>
        </w:tc>
        <w:tc>
          <w:tcPr>
            <w:tcW w:w="1443" w:type="dxa"/>
            <w:tcBorders/>
          </w:tcPr>
          <w:p>
            <w:pPr>
              <w:pStyle w:val="Normal"/>
              <w:tabs>
                <w:tab w:val="clear" w:pos="720"/>
                <w:tab w:val="left" w:pos="2970" w:leader="none"/>
              </w:tabs>
              <w:rPr>
                <w:i/>
                <w:i/>
                <w:iCs/>
                <w:color w:val="000000"/>
              </w:rPr>
            </w:pPr>
            <w:r>
              <w:rPr>
                <w:i/>
                <w:iCs/>
                <w:color w:val="000000"/>
              </w:rPr>
              <w:t>Nov 6</w:t>
            </w:r>
          </w:p>
        </w:tc>
        <w:tc>
          <w:tcPr>
            <w:tcW w:w="1528" w:type="dxa"/>
            <w:tcBorders/>
          </w:tcPr>
          <w:p>
            <w:pPr>
              <w:pStyle w:val="Normal"/>
              <w:tabs>
                <w:tab w:val="clear" w:pos="720"/>
                <w:tab w:val="left" w:pos="2970" w:leader="none"/>
              </w:tabs>
              <w:rPr>
                <w:i/>
                <w:i/>
                <w:iCs/>
                <w:color w:val="000000"/>
              </w:rPr>
            </w:pPr>
            <w:r>
              <w:rPr>
                <w:i/>
                <w:iCs/>
                <w:color w:val="000000"/>
              </w:rPr>
              <w:t>Dec Unl</w:t>
            </w:r>
          </w:p>
        </w:tc>
        <w:tc>
          <w:tcPr>
            <w:tcW w:w="1709" w:type="dxa"/>
            <w:tcBorders/>
          </w:tcPr>
          <w:p>
            <w:pPr>
              <w:pStyle w:val="Normal"/>
              <w:tabs>
                <w:tab w:val="clear" w:pos="720"/>
                <w:tab w:val="left" w:pos="2970" w:leader="none"/>
              </w:tabs>
              <w:rPr>
                <w:i/>
                <w:i/>
                <w:iCs/>
                <w:color w:val="000000"/>
              </w:rPr>
            </w:pPr>
            <w:r>
              <w:rPr>
                <w:i/>
                <w:iCs/>
                <w:color w:val="000000"/>
              </w:rPr>
              <w:t>Dec HTO</w:t>
            </w:r>
          </w:p>
        </w:tc>
        <w:tc>
          <w:tcPr>
            <w:tcW w:w="928" w:type="dxa"/>
            <w:tcBorders/>
          </w:tcPr>
          <w:p>
            <w:pPr>
              <w:pStyle w:val="Normal"/>
              <w:tabs>
                <w:tab w:val="clear" w:pos="720"/>
                <w:tab w:val="left" w:pos="2970" w:leader="none"/>
              </w:tabs>
              <w:jc w:val="center"/>
              <w:rPr>
                <w:i/>
                <w:i/>
                <w:iCs/>
                <w:color w:val="000000"/>
              </w:rPr>
            </w:pPr>
            <w:r>
              <w:rPr>
                <w:i/>
                <w:iCs/>
                <w:color w:val="000000"/>
              </w:rPr>
              <w:t>-1.45</w:t>
            </w:r>
          </w:p>
        </w:tc>
        <w:tc>
          <w:tcPr>
            <w:tcW w:w="980" w:type="dxa"/>
            <w:tcBorders/>
          </w:tcPr>
          <w:p>
            <w:pPr>
              <w:pStyle w:val="Normal"/>
              <w:tabs>
                <w:tab w:val="clear" w:pos="720"/>
                <w:tab w:val="left" w:pos="2970" w:leader="none"/>
              </w:tabs>
              <w:jc w:val="center"/>
              <w:rPr>
                <w:i/>
                <w:i/>
                <w:iCs/>
                <w:color w:val="000000"/>
              </w:rPr>
            </w:pPr>
            <w:r>
              <w:rPr>
                <w:i/>
                <w:iCs/>
                <w:color w:val="000000"/>
              </w:rPr>
              <w:t>1.97</w:t>
            </w:r>
          </w:p>
        </w:tc>
        <w:tc>
          <w:tcPr>
            <w:tcW w:w="974" w:type="dxa"/>
            <w:tcBorders>
              <w:end w:val="single" w:sz="6" w:space="0" w:color="000000"/>
            </w:tcBorders>
          </w:tcPr>
          <w:p>
            <w:pPr>
              <w:pStyle w:val="Normal"/>
              <w:tabs>
                <w:tab w:val="clear" w:pos="720"/>
                <w:tab w:val="left" w:pos="2970" w:leader="none"/>
              </w:tabs>
              <w:jc w:val="center"/>
              <w:rPr>
                <w:i/>
                <w:i/>
                <w:iCs/>
                <w:color w:val="000000"/>
              </w:rPr>
            </w:pPr>
            <w:r>
              <w:rPr>
                <w:i/>
                <w:iCs/>
                <w:color w:val="000000"/>
              </w:rPr>
              <w:t>-3.57</w:t>
            </w:r>
          </w:p>
        </w:tc>
      </w:tr>
      <w:tr>
        <w:trPr>
          <w:trHeight w:val="200" w:hRule="atLeast"/>
        </w:trPr>
        <w:tc>
          <w:tcPr>
            <w:tcW w:w="3511" w:type="dxa"/>
            <w:tcBorders>
              <w:start w:val="single" w:sz="6" w:space="0" w:color="000000"/>
            </w:tcBorders>
          </w:tcPr>
          <w:p>
            <w:pPr>
              <w:pStyle w:val="Normal"/>
              <w:tabs>
                <w:tab w:val="clear" w:pos="720"/>
                <w:tab w:val="left" w:pos="2970" w:leader="none"/>
              </w:tabs>
              <w:rPr>
                <w:i/>
                <w:i/>
                <w:iCs/>
                <w:color w:val="000000"/>
              </w:rPr>
            </w:pPr>
            <w:r>
              <w:rPr>
                <w:i/>
                <w:iCs/>
                <w:color w:val="000000"/>
              </w:rPr>
              <w:t>NWE</w:t>
            </w:r>
          </w:p>
        </w:tc>
        <w:tc>
          <w:tcPr>
            <w:tcW w:w="1443" w:type="dxa"/>
            <w:tcBorders/>
          </w:tcPr>
          <w:p>
            <w:pPr>
              <w:pStyle w:val="Normal"/>
              <w:tabs>
                <w:tab w:val="clear" w:pos="720"/>
                <w:tab w:val="left" w:pos="2970" w:leader="none"/>
              </w:tabs>
              <w:rPr>
                <w:i/>
                <w:i/>
                <w:iCs/>
                <w:color w:val="000000"/>
              </w:rPr>
            </w:pPr>
            <w:r>
              <w:rPr>
                <w:i/>
                <w:iCs/>
                <w:color w:val="000000"/>
              </w:rPr>
              <w:t>Nov 7</w:t>
            </w:r>
          </w:p>
        </w:tc>
        <w:tc>
          <w:tcPr>
            <w:tcW w:w="1528" w:type="dxa"/>
            <w:tcBorders/>
          </w:tcPr>
          <w:p>
            <w:pPr>
              <w:pStyle w:val="Normal"/>
              <w:tabs>
                <w:tab w:val="clear" w:pos="720"/>
                <w:tab w:val="left" w:pos="2970" w:leader="none"/>
              </w:tabs>
              <w:rPr>
                <w:i/>
                <w:i/>
                <w:iCs/>
                <w:color w:val="000000"/>
              </w:rPr>
            </w:pPr>
            <w:r>
              <w:rPr>
                <w:i/>
                <w:iCs/>
                <w:color w:val="000000"/>
              </w:rPr>
              <w:t>Naphtha cif</w:t>
            </w:r>
          </w:p>
        </w:tc>
        <w:tc>
          <w:tcPr>
            <w:tcW w:w="1709" w:type="dxa"/>
            <w:tcBorders/>
          </w:tcPr>
          <w:p>
            <w:pPr>
              <w:pStyle w:val="Normal"/>
              <w:tabs>
                <w:tab w:val="clear" w:pos="720"/>
                <w:tab w:val="left" w:pos="2970" w:leader="none"/>
              </w:tabs>
              <w:rPr>
                <w:i/>
                <w:i/>
                <w:iCs/>
                <w:color w:val="000000"/>
              </w:rPr>
            </w:pPr>
            <w:r>
              <w:rPr>
                <w:i/>
                <w:iCs/>
                <w:color w:val="000000"/>
              </w:rPr>
              <w:t>IPE Dec Gasoil</w:t>
            </w:r>
          </w:p>
        </w:tc>
        <w:tc>
          <w:tcPr>
            <w:tcW w:w="928" w:type="dxa"/>
            <w:tcBorders/>
          </w:tcPr>
          <w:p>
            <w:pPr>
              <w:pStyle w:val="Normal"/>
              <w:tabs>
                <w:tab w:val="clear" w:pos="720"/>
                <w:tab w:val="left" w:pos="2970" w:leader="none"/>
              </w:tabs>
              <w:jc w:val="center"/>
              <w:rPr>
                <w:i/>
                <w:i/>
                <w:iCs/>
                <w:color w:val="000000"/>
              </w:rPr>
            </w:pPr>
            <w:r>
              <w:rPr>
                <w:i/>
                <w:iCs/>
                <w:color w:val="000000"/>
              </w:rPr>
              <w:t>-6.44</w:t>
            </w:r>
          </w:p>
        </w:tc>
        <w:tc>
          <w:tcPr>
            <w:tcW w:w="980" w:type="dxa"/>
            <w:tcBorders/>
          </w:tcPr>
          <w:p>
            <w:pPr>
              <w:pStyle w:val="Normal"/>
              <w:tabs>
                <w:tab w:val="clear" w:pos="720"/>
                <w:tab w:val="left" w:pos="2970" w:leader="none"/>
              </w:tabs>
              <w:jc w:val="center"/>
              <w:rPr>
                <w:i/>
                <w:i/>
                <w:iCs/>
                <w:color w:val="000000"/>
              </w:rPr>
            </w:pPr>
            <w:r>
              <w:rPr>
                <w:i/>
                <w:iCs/>
                <w:color w:val="000000"/>
              </w:rPr>
              <w:t>-3.35</w:t>
            </w:r>
          </w:p>
        </w:tc>
        <w:tc>
          <w:tcPr>
            <w:tcW w:w="974" w:type="dxa"/>
            <w:tcBorders>
              <w:end w:val="single" w:sz="6" w:space="0" w:color="000000"/>
            </w:tcBorders>
          </w:tcPr>
          <w:p>
            <w:pPr>
              <w:pStyle w:val="Normal"/>
              <w:tabs>
                <w:tab w:val="clear" w:pos="720"/>
                <w:tab w:val="left" w:pos="2970" w:leader="none"/>
              </w:tabs>
              <w:jc w:val="center"/>
              <w:rPr>
                <w:i/>
                <w:i/>
                <w:iCs/>
                <w:color w:val="000000"/>
              </w:rPr>
            </w:pPr>
            <w:r>
              <w:rPr>
                <w:i/>
                <w:iCs/>
                <w:color w:val="000000"/>
              </w:rPr>
              <w:t>-6.51</w:t>
            </w:r>
          </w:p>
        </w:tc>
      </w:tr>
      <w:tr>
        <w:trPr>
          <w:trHeight w:val="200" w:hRule="atLeast"/>
        </w:trPr>
        <w:tc>
          <w:tcPr>
            <w:tcW w:w="3511" w:type="dxa"/>
            <w:tcBorders>
              <w:start w:val="single" w:sz="6" w:space="0" w:color="000000"/>
            </w:tcBorders>
          </w:tcPr>
          <w:p>
            <w:pPr>
              <w:pStyle w:val="Normal"/>
              <w:tabs>
                <w:tab w:val="clear" w:pos="720"/>
                <w:tab w:val="left" w:pos="2970" w:leader="none"/>
              </w:tabs>
              <w:rPr>
                <w:b/>
                <w:bCs/>
                <w:i/>
                <w:i/>
                <w:iCs/>
                <w:color w:val="000000"/>
                <w:u w:val="single"/>
              </w:rPr>
            </w:pPr>
            <w:r>
              <w:rPr>
                <w:b/>
                <w:bCs/>
                <w:i/>
                <w:iCs/>
                <w:color w:val="000000"/>
                <w:u w:val="single"/>
              </w:rPr>
              <w:t>Reg Unl Gas #</w:t>
            </w:r>
          </w:p>
        </w:tc>
        <w:tc>
          <w:tcPr>
            <w:tcW w:w="1443" w:type="dxa"/>
            <w:tcBorders/>
          </w:tcPr>
          <w:p>
            <w:pPr>
              <w:pStyle w:val="Normal"/>
              <w:tabs>
                <w:tab w:val="clear" w:pos="720"/>
                <w:tab w:val="left" w:pos="2970" w:leader="none"/>
              </w:tabs>
              <w:rPr>
                <w:b/>
                <w:bCs/>
                <w:i/>
                <w:i/>
                <w:iCs/>
                <w:color w:val="000000"/>
                <w:u w:val="single"/>
              </w:rPr>
            </w:pPr>
            <w:r>
              <w:rPr>
                <w:b/>
                <w:bCs/>
                <w:i/>
                <w:iCs/>
                <w:color w:val="000000"/>
                <w:u w:val="single"/>
              </w:rPr>
              <w:t>Nov 7</w:t>
            </w:r>
          </w:p>
        </w:tc>
        <w:tc>
          <w:tcPr>
            <w:tcW w:w="1528" w:type="dxa"/>
            <w:tcBorders/>
          </w:tcPr>
          <w:p>
            <w:pPr>
              <w:pStyle w:val="Normal"/>
              <w:tabs>
                <w:tab w:val="clear" w:pos="720"/>
                <w:tab w:val="left" w:pos="2970" w:leader="none"/>
              </w:tabs>
              <w:rPr>
                <w:b/>
                <w:bCs/>
                <w:i/>
                <w:i/>
                <w:iCs/>
                <w:color w:val="000000"/>
                <w:u w:val="single"/>
              </w:rPr>
            </w:pPr>
            <w:r>
              <w:rPr>
                <w:b/>
                <w:bCs/>
                <w:i/>
                <w:iCs/>
                <w:color w:val="000000"/>
                <w:u w:val="single"/>
              </w:rPr>
              <w:t>NYMEX spot</w:t>
            </w:r>
          </w:p>
        </w:tc>
        <w:tc>
          <w:tcPr>
            <w:tcW w:w="1709" w:type="dxa"/>
            <w:tcBorders/>
          </w:tcPr>
          <w:p>
            <w:pPr>
              <w:pStyle w:val="Normal"/>
              <w:tabs>
                <w:tab w:val="clear" w:pos="720"/>
                <w:tab w:val="left" w:pos="2970" w:leader="none"/>
              </w:tabs>
              <w:rPr>
                <w:b/>
                <w:bCs/>
                <w:i/>
                <w:i/>
                <w:iCs/>
                <w:color w:val="000000"/>
                <w:u w:val="single"/>
              </w:rPr>
            </w:pPr>
            <w:r>
              <w:rPr>
                <w:b/>
                <w:bCs/>
                <w:i/>
                <w:iCs/>
                <w:color w:val="000000"/>
                <w:u w:val="single"/>
              </w:rPr>
              <w:t>USWC-LA conv</w:t>
            </w:r>
          </w:p>
        </w:tc>
        <w:tc>
          <w:tcPr>
            <w:tcW w:w="928" w:type="dxa"/>
            <w:tcBorders/>
          </w:tcPr>
          <w:p>
            <w:pPr>
              <w:pStyle w:val="Normal"/>
              <w:tabs>
                <w:tab w:val="clear" w:pos="720"/>
                <w:tab w:val="left" w:pos="2970" w:leader="none"/>
              </w:tabs>
              <w:jc w:val="center"/>
              <w:rPr>
                <w:b/>
                <w:bCs/>
                <w:i/>
                <w:i/>
                <w:iCs/>
                <w:color w:val="000000"/>
                <w:u w:val="single"/>
              </w:rPr>
            </w:pPr>
            <w:r>
              <w:rPr>
                <w:b/>
                <w:bCs/>
                <w:i/>
                <w:iCs/>
                <w:color w:val="000000"/>
                <w:u w:val="single"/>
              </w:rPr>
              <w:t>-15.08</w:t>
            </w:r>
          </w:p>
        </w:tc>
        <w:tc>
          <w:tcPr>
            <w:tcW w:w="980" w:type="dxa"/>
            <w:tcBorders/>
          </w:tcPr>
          <w:p>
            <w:pPr>
              <w:pStyle w:val="Normal"/>
              <w:tabs>
                <w:tab w:val="clear" w:pos="720"/>
                <w:tab w:val="left" w:pos="2970" w:leader="none"/>
              </w:tabs>
              <w:jc w:val="center"/>
              <w:rPr>
                <w:b/>
                <w:bCs/>
                <w:i/>
                <w:i/>
                <w:iCs/>
                <w:color w:val="000000"/>
                <w:u w:val="single"/>
              </w:rPr>
            </w:pPr>
            <w:r>
              <w:rPr>
                <w:b/>
                <w:bCs/>
                <w:i/>
                <w:iCs/>
                <w:color w:val="000000"/>
                <w:u w:val="single"/>
              </w:rPr>
              <w:t>-3.56</w:t>
            </w:r>
          </w:p>
        </w:tc>
        <w:tc>
          <w:tcPr>
            <w:tcW w:w="974" w:type="dxa"/>
            <w:tcBorders>
              <w:end w:val="single" w:sz="6" w:space="0" w:color="000000"/>
            </w:tcBorders>
          </w:tcPr>
          <w:p>
            <w:pPr>
              <w:pStyle w:val="Normal"/>
              <w:tabs>
                <w:tab w:val="clear" w:pos="720"/>
                <w:tab w:val="left" w:pos="2970" w:leader="none"/>
              </w:tabs>
              <w:jc w:val="center"/>
              <w:rPr>
                <w:b/>
                <w:bCs/>
                <w:i/>
                <w:i/>
                <w:iCs/>
                <w:color w:val="000000"/>
                <w:u w:val="single"/>
              </w:rPr>
            </w:pPr>
            <w:r>
              <w:rPr>
                <w:b/>
                <w:bCs/>
                <w:i/>
                <w:iCs/>
                <w:color w:val="000000"/>
                <w:u w:val="single"/>
              </w:rPr>
              <w:t>-9.58</w:t>
            </w:r>
          </w:p>
        </w:tc>
      </w:tr>
      <w:tr>
        <w:trPr>
          <w:trHeight w:val="200" w:hRule="atLeast"/>
        </w:trPr>
        <w:tc>
          <w:tcPr>
            <w:tcW w:w="3511" w:type="dxa"/>
            <w:tcBorders>
              <w:start w:val="single" w:sz="6" w:space="0" w:color="000000"/>
              <w:bottom w:val="single" w:sz="6" w:space="0" w:color="000000"/>
            </w:tcBorders>
          </w:tcPr>
          <w:p>
            <w:pPr>
              <w:pStyle w:val="Normal"/>
              <w:rPr/>
            </w:pPr>
            <w:r>
              <w:rPr/>
              <w:t xml:space="preserve">  </w:t>
            </w:r>
            <w:r>
              <w:rPr>
                <w:color w:val="000000"/>
              </w:rPr>
              <w:t xml:space="preserve">    </w:t>
            </w:r>
            <w:r>
              <w:rPr>
                <w:i/>
                <w:iCs/>
                <w:color w:val="000000"/>
                <w:u w:val="single"/>
              </w:rPr>
              <w:t xml:space="preserve">  </w:t>
            </w:r>
            <w:r>
              <w:rPr>
                <w:i/>
                <w:iCs/>
                <w:color w:val="000000"/>
                <w:u w:val="single"/>
              </w:rPr>
              <w:t># Exit these trades</w:t>
            </w:r>
          </w:p>
        </w:tc>
        <w:tc>
          <w:tcPr>
            <w:tcW w:w="1443" w:type="dxa"/>
            <w:tcBorders>
              <w:bottom w:val="single" w:sz="6" w:space="0" w:color="000000"/>
            </w:tcBorders>
          </w:tcPr>
          <w:p>
            <w:pPr>
              <w:pStyle w:val="Normal"/>
              <w:snapToGrid w:val="false"/>
              <w:rPr>
                <w:i/>
                <w:i/>
                <w:iCs/>
                <w:color w:val="000000"/>
                <w:u w:val="single"/>
              </w:rPr>
            </w:pPr>
            <w:r>
              <w:rPr>
                <w:i/>
                <w:iCs/>
                <w:color w:val="000000"/>
                <w:u w:val="single"/>
              </w:rPr>
            </w:r>
          </w:p>
        </w:tc>
        <w:tc>
          <w:tcPr>
            <w:tcW w:w="1528" w:type="dxa"/>
            <w:tcBorders>
              <w:bottom w:val="single" w:sz="6" w:space="0" w:color="000000"/>
            </w:tcBorders>
          </w:tcPr>
          <w:p>
            <w:pPr>
              <w:pStyle w:val="Normal"/>
              <w:snapToGrid w:val="false"/>
              <w:rPr>
                <w:i/>
                <w:i/>
                <w:iCs/>
                <w:color w:val="000000"/>
                <w:u w:val="single"/>
              </w:rPr>
            </w:pPr>
            <w:r>
              <w:rPr>
                <w:i/>
                <w:iCs/>
                <w:color w:val="000000"/>
                <w:u w:val="single"/>
              </w:rPr>
            </w:r>
          </w:p>
        </w:tc>
        <w:tc>
          <w:tcPr>
            <w:tcW w:w="1709" w:type="dxa"/>
            <w:tcBorders>
              <w:bottom w:val="single" w:sz="6" w:space="0" w:color="000000"/>
            </w:tcBorders>
          </w:tcPr>
          <w:p>
            <w:pPr>
              <w:pStyle w:val="Normal"/>
              <w:snapToGrid w:val="false"/>
              <w:rPr>
                <w:i/>
                <w:i/>
                <w:iCs/>
                <w:color w:val="000000"/>
                <w:u w:val="single"/>
              </w:rPr>
            </w:pPr>
            <w:r>
              <w:rPr>
                <w:i/>
                <w:iCs/>
                <w:color w:val="000000"/>
                <w:u w:val="single"/>
              </w:rPr>
            </w:r>
          </w:p>
        </w:tc>
        <w:tc>
          <w:tcPr>
            <w:tcW w:w="928" w:type="dxa"/>
            <w:tcBorders>
              <w:bottom w:val="single" w:sz="6" w:space="0" w:color="000000"/>
            </w:tcBorders>
          </w:tcPr>
          <w:p>
            <w:pPr>
              <w:pStyle w:val="Normal"/>
              <w:snapToGrid w:val="false"/>
              <w:jc w:val="center"/>
              <w:rPr>
                <w:i/>
                <w:i/>
                <w:iCs/>
                <w:color w:val="000000"/>
                <w:u w:val="single"/>
              </w:rPr>
            </w:pPr>
            <w:r>
              <w:rPr>
                <w:i/>
                <w:iCs/>
                <w:color w:val="000000"/>
                <w:u w:val="single"/>
              </w:rPr>
            </w:r>
          </w:p>
        </w:tc>
        <w:tc>
          <w:tcPr>
            <w:tcW w:w="980" w:type="dxa"/>
            <w:tcBorders>
              <w:bottom w:val="single" w:sz="6" w:space="0" w:color="000000"/>
            </w:tcBorders>
          </w:tcPr>
          <w:p>
            <w:pPr>
              <w:pStyle w:val="Normal"/>
              <w:snapToGrid w:val="false"/>
              <w:jc w:val="center"/>
              <w:rPr>
                <w:i/>
                <w:i/>
                <w:iCs/>
                <w:color w:val="000000"/>
                <w:u w:val="single"/>
              </w:rPr>
            </w:pPr>
            <w:r>
              <w:rPr>
                <w:i/>
                <w:iCs/>
                <w:color w:val="000000"/>
                <w:u w:val="single"/>
              </w:rPr>
            </w:r>
          </w:p>
        </w:tc>
        <w:tc>
          <w:tcPr>
            <w:tcW w:w="974" w:type="dxa"/>
            <w:tcBorders>
              <w:bottom w:val="single" w:sz="6" w:space="0" w:color="000000"/>
              <w:end w:val="single" w:sz="6" w:space="0" w:color="000000"/>
            </w:tcBorders>
          </w:tcPr>
          <w:p>
            <w:pPr>
              <w:pStyle w:val="Normal"/>
              <w:snapToGrid w:val="false"/>
              <w:jc w:val="center"/>
              <w:rPr>
                <w:i/>
                <w:i/>
                <w:iCs/>
                <w:color w:val="000000"/>
                <w:u w:val="single"/>
              </w:rPr>
            </w:pPr>
            <w:r>
              <w:rPr>
                <w:i/>
                <w:iCs/>
                <w:color w:val="000000"/>
                <w:u w:val="single"/>
              </w:rPr>
            </w:r>
          </w:p>
        </w:tc>
      </w:tr>
    </w:tbl>
    <w:p>
      <w:pPr>
        <w:pStyle w:val="Normal"/>
        <w:jc w:val="both"/>
        <w:rPr>
          <w:sz w:val="24"/>
          <w:szCs w:val="24"/>
        </w:rPr>
      </w:pPr>
      <w:r>
        <w:rPr>
          <w:sz w:val="24"/>
          <w:szCs w:val="24"/>
        </w:rPr>
      </w:r>
    </w:p>
    <w:tbl>
      <w:tblPr>
        <w:tblW w:w="11071" w:type="dxa"/>
        <w:jc w:val="start"/>
        <w:tblInd w:w="-72" w:type="dxa"/>
        <w:tblLayout w:type="fixed"/>
        <w:tblCellMar>
          <w:top w:w="0" w:type="dxa"/>
          <w:start w:w="108" w:type="dxa"/>
          <w:bottom w:w="0" w:type="dxa"/>
          <w:end w:w="108" w:type="dxa"/>
        </w:tblCellMar>
      </w:tblPr>
      <w:tblGrid>
        <w:gridCol w:w="3461"/>
        <w:gridCol w:w="1449"/>
        <w:gridCol w:w="1671"/>
        <w:gridCol w:w="1699"/>
        <w:gridCol w:w="883"/>
        <w:gridCol w:w="953"/>
        <w:gridCol w:w="955"/>
      </w:tblGrid>
      <w:tr>
        <w:trPr>
          <w:trHeight w:val="200" w:hRule="atLeast"/>
        </w:trPr>
        <w:tc>
          <w:tcPr>
            <w:tcW w:w="3461" w:type="dxa"/>
            <w:tcBorders>
              <w:top w:val="single" w:sz="6" w:space="0" w:color="000000"/>
              <w:start w:val="single" w:sz="6" w:space="0" w:color="000000"/>
            </w:tcBorders>
          </w:tcPr>
          <w:p>
            <w:pPr>
              <w:pStyle w:val="Normal"/>
              <w:tabs>
                <w:tab w:val="clear" w:pos="720"/>
                <w:tab w:val="left" w:pos="2970" w:leader="none"/>
              </w:tabs>
              <w:rPr>
                <w:b/>
                <w:bCs/>
                <w:i/>
                <w:i/>
                <w:iCs/>
                <w:color w:val="0000FF"/>
                <w:sz w:val="18"/>
                <w:szCs w:val="18"/>
              </w:rPr>
            </w:pPr>
            <w:r>
              <w:rPr>
                <w:b/>
                <w:bCs/>
                <w:sz w:val="18"/>
                <w:szCs w:val="18"/>
              </w:rPr>
              <w:t>CRUDE OIL ARBITRAGE SPREAD TRADES: $/Bbl</w:t>
            </w:r>
          </w:p>
        </w:tc>
        <w:tc>
          <w:tcPr>
            <w:tcW w:w="1449" w:type="dxa"/>
            <w:tcBorders>
              <w:top w:val="single" w:sz="6" w:space="0" w:color="000000"/>
            </w:tcBorders>
          </w:tcPr>
          <w:p>
            <w:pPr>
              <w:pStyle w:val="Normal"/>
              <w:tabs>
                <w:tab w:val="clear" w:pos="720"/>
                <w:tab w:val="left" w:pos="2970" w:leader="none"/>
              </w:tabs>
              <w:rPr>
                <w:i/>
                <w:i/>
                <w:iCs/>
                <w:color w:val="000000"/>
              </w:rPr>
            </w:pPr>
            <w:r>
              <w:rPr>
                <w:b/>
                <w:bCs/>
              </w:rPr>
              <w:t>Rec.</w:t>
            </w:r>
          </w:p>
        </w:tc>
        <w:tc>
          <w:tcPr>
            <w:tcW w:w="1671" w:type="dxa"/>
            <w:tcBorders>
              <w:top w:val="single" w:sz="6" w:space="0" w:color="000000"/>
            </w:tcBorders>
          </w:tcPr>
          <w:p>
            <w:pPr>
              <w:pStyle w:val="Normal"/>
              <w:tabs>
                <w:tab w:val="clear" w:pos="720"/>
                <w:tab w:val="left" w:pos="2970" w:leader="none"/>
              </w:tabs>
              <w:rPr>
                <w:i/>
                <w:i/>
                <w:iCs/>
                <w:color w:val="000000"/>
              </w:rPr>
            </w:pPr>
            <w:r>
              <w:rPr>
                <w:b/>
                <w:bCs/>
              </w:rPr>
              <w:t>Buy</w:t>
            </w:r>
          </w:p>
        </w:tc>
        <w:tc>
          <w:tcPr>
            <w:tcW w:w="1699" w:type="dxa"/>
            <w:tcBorders>
              <w:top w:val="single" w:sz="6" w:space="0" w:color="000000"/>
            </w:tcBorders>
          </w:tcPr>
          <w:p>
            <w:pPr>
              <w:pStyle w:val="Normal"/>
              <w:tabs>
                <w:tab w:val="clear" w:pos="720"/>
                <w:tab w:val="left" w:pos="2970" w:leader="none"/>
              </w:tabs>
              <w:rPr>
                <w:i/>
                <w:i/>
                <w:iCs/>
                <w:color w:val="000000"/>
              </w:rPr>
            </w:pPr>
            <w:r>
              <w:rPr>
                <w:b/>
                <w:bCs/>
              </w:rPr>
              <w:t>Sell</w:t>
            </w:r>
          </w:p>
        </w:tc>
        <w:tc>
          <w:tcPr>
            <w:tcW w:w="883" w:type="dxa"/>
            <w:tcBorders>
              <w:top w:val="single" w:sz="6" w:space="0" w:color="000000"/>
            </w:tcBorders>
          </w:tcPr>
          <w:p>
            <w:pPr>
              <w:pStyle w:val="Normal"/>
              <w:tabs>
                <w:tab w:val="clear" w:pos="720"/>
                <w:tab w:val="left" w:pos="2970" w:leader="none"/>
              </w:tabs>
              <w:rPr>
                <w:i/>
                <w:i/>
                <w:iCs/>
                <w:color w:val="000000"/>
              </w:rPr>
            </w:pPr>
            <w:r>
              <w:rPr>
                <w:b/>
                <w:bCs/>
              </w:rPr>
              <w:t>First</w:t>
            </w:r>
          </w:p>
        </w:tc>
        <w:tc>
          <w:tcPr>
            <w:tcW w:w="953" w:type="dxa"/>
            <w:tcBorders>
              <w:top w:val="single" w:sz="6" w:space="0" w:color="000000"/>
            </w:tcBorders>
          </w:tcPr>
          <w:p>
            <w:pPr>
              <w:pStyle w:val="Normal"/>
              <w:tabs>
                <w:tab w:val="clear" w:pos="720"/>
                <w:tab w:val="left" w:pos="2970" w:leader="none"/>
              </w:tabs>
              <w:rPr>
                <w:i/>
                <w:i/>
                <w:iCs/>
                <w:color w:val="000000"/>
              </w:rPr>
            </w:pPr>
            <w:r>
              <w:rPr>
                <w:b/>
                <w:bCs/>
              </w:rPr>
              <w:t>AVG</w:t>
            </w:r>
          </w:p>
        </w:tc>
        <w:tc>
          <w:tcPr>
            <w:tcW w:w="955" w:type="dxa"/>
            <w:tcBorders>
              <w:top w:val="single" w:sz="6" w:space="0" w:color="000000"/>
              <w:end w:val="single" w:sz="6" w:space="0" w:color="000000"/>
            </w:tcBorders>
          </w:tcPr>
          <w:p>
            <w:pPr>
              <w:pStyle w:val="Normal"/>
              <w:tabs>
                <w:tab w:val="clear" w:pos="720"/>
                <w:tab w:val="left" w:pos="2970" w:leader="none"/>
              </w:tabs>
              <w:rPr>
                <w:i/>
                <w:i/>
                <w:iCs/>
                <w:color w:val="000000"/>
              </w:rPr>
            </w:pPr>
            <w:r>
              <w:rPr>
                <w:b/>
                <w:bCs/>
              </w:rPr>
              <w:t>Today</w:t>
            </w:r>
          </w:p>
        </w:tc>
      </w:tr>
      <w:tr>
        <w:trPr>
          <w:trHeight w:val="200" w:hRule="atLeast"/>
        </w:trPr>
        <w:tc>
          <w:tcPr>
            <w:tcW w:w="3461" w:type="dxa"/>
            <w:tcBorders>
              <w:start w:val="single" w:sz="6" w:space="0" w:color="000000"/>
            </w:tcBorders>
          </w:tcPr>
          <w:p>
            <w:pPr>
              <w:pStyle w:val="Normal"/>
              <w:tabs>
                <w:tab w:val="clear" w:pos="720"/>
                <w:tab w:val="left" w:pos="2970" w:leader="none"/>
              </w:tabs>
              <w:rPr>
                <w:i/>
                <w:i/>
                <w:iCs/>
                <w:color w:val="0000FF"/>
              </w:rPr>
            </w:pPr>
            <w:r>
              <w:rPr>
                <w:i/>
                <w:iCs/>
                <w:color w:val="0000FF"/>
              </w:rPr>
              <w:t>Trade Watch</w:t>
            </w:r>
          </w:p>
        </w:tc>
        <w:tc>
          <w:tcPr>
            <w:tcW w:w="1449" w:type="dxa"/>
            <w:tcBorders/>
          </w:tcPr>
          <w:p>
            <w:pPr>
              <w:pStyle w:val="Normal"/>
              <w:tabs>
                <w:tab w:val="clear" w:pos="720"/>
                <w:tab w:val="left" w:pos="2970" w:leader="none"/>
              </w:tabs>
              <w:snapToGrid w:val="false"/>
              <w:rPr>
                <w:i/>
                <w:i/>
                <w:iCs/>
                <w:color w:val="0000FF"/>
              </w:rPr>
            </w:pPr>
            <w:r>
              <w:rPr>
                <w:i/>
                <w:iCs/>
                <w:color w:val="0000FF"/>
              </w:rPr>
            </w:r>
          </w:p>
        </w:tc>
        <w:tc>
          <w:tcPr>
            <w:tcW w:w="1671" w:type="dxa"/>
            <w:tcBorders/>
          </w:tcPr>
          <w:p>
            <w:pPr>
              <w:pStyle w:val="Normal"/>
              <w:tabs>
                <w:tab w:val="clear" w:pos="720"/>
                <w:tab w:val="left" w:pos="2970" w:leader="none"/>
              </w:tabs>
              <w:snapToGrid w:val="false"/>
              <w:rPr>
                <w:i/>
                <w:i/>
                <w:iCs/>
                <w:color w:val="0000FF"/>
              </w:rPr>
            </w:pPr>
            <w:r>
              <w:rPr>
                <w:i/>
                <w:iCs/>
                <w:color w:val="0000FF"/>
              </w:rPr>
            </w:r>
          </w:p>
        </w:tc>
        <w:tc>
          <w:tcPr>
            <w:tcW w:w="1699" w:type="dxa"/>
            <w:tcBorders/>
          </w:tcPr>
          <w:p>
            <w:pPr>
              <w:pStyle w:val="Normal"/>
              <w:tabs>
                <w:tab w:val="clear" w:pos="720"/>
                <w:tab w:val="left" w:pos="2970" w:leader="none"/>
              </w:tabs>
              <w:snapToGrid w:val="false"/>
              <w:rPr>
                <w:i/>
                <w:i/>
                <w:iCs/>
                <w:color w:val="0000FF"/>
              </w:rPr>
            </w:pPr>
            <w:r>
              <w:rPr>
                <w:i/>
                <w:iCs/>
                <w:color w:val="0000FF"/>
              </w:rPr>
            </w:r>
          </w:p>
        </w:tc>
        <w:tc>
          <w:tcPr>
            <w:tcW w:w="883" w:type="dxa"/>
            <w:tcBorders/>
          </w:tcPr>
          <w:p>
            <w:pPr>
              <w:pStyle w:val="Normal"/>
              <w:tabs>
                <w:tab w:val="clear" w:pos="720"/>
                <w:tab w:val="left" w:pos="2970" w:leader="none"/>
              </w:tabs>
              <w:snapToGrid w:val="false"/>
              <w:jc w:val="center"/>
              <w:rPr>
                <w:i/>
                <w:i/>
                <w:iCs/>
                <w:color w:val="0000FF"/>
              </w:rPr>
            </w:pPr>
            <w:r>
              <w:rPr>
                <w:i/>
                <w:iCs/>
                <w:color w:val="0000FF"/>
              </w:rPr>
            </w:r>
          </w:p>
        </w:tc>
        <w:tc>
          <w:tcPr>
            <w:tcW w:w="953" w:type="dxa"/>
            <w:tcBorders/>
          </w:tcPr>
          <w:p>
            <w:pPr>
              <w:pStyle w:val="Normal"/>
              <w:tabs>
                <w:tab w:val="clear" w:pos="720"/>
                <w:tab w:val="left" w:pos="2970" w:leader="none"/>
              </w:tabs>
              <w:snapToGrid w:val="false"/>
              <w:jc w:val="center"/>
              <w:rPr>
                <w:i/>
                <w:i/>
                <w:iCs/>
                <w:color w:val="0000FF"/>
              </w:rPr>
            </w:pPr>
            <w:r>
              <w:rPr>
                <w:i/>
                <w:iCs/>
                <w:color w:val="0000FF"/>
              </w:rPr>
            </w:r>
          </w:p>
        </w:tc>
        <w:tc>
          <w:tcPr>
            <w:tcW w:w="955" w:type="dxa"/>
            <w:tcBorders>
              <w:end w:val="single" w:sz="6" w:space="0" w:color="000000"/>
            </w:tcBorders>
          </w:tcPr>
          <w:p>
            <w:pPr>
              <w:pStyle w:val="Normal"/>
              <w:tabs>
                <w:tab w:val="clear" w:pos="720"/>
                <w:tab w:val="left" w:pos="2970" w:leader="none"/>
              </w:tabs>
              <w:snapToGrid w:val="false"/>
              <w:jc w:val="center"/>
              <w:rPr>
                <w:i/>
                <w:i/>
                <w:iCs/>
                <w:color w:val="0000FF"/>
              </w:rPr>
            </w:pPr>
            <w:r>
              <w:rPr>
                <w:i/>
                <w:iCs/>
                <w:color w:val="0000FF"/>
              </w:rPr>
            </w:r>
          </w:p>
        </w:tc>
      </w:tr>
      <w:tr>
        <w:trPr>
          <w:trHeight w:val="200" w:hRule="atLeast"/>
        </w:trPr>
        <w:tc>
          <w:tcPr>
            <w:tcW w:w="3461" w:type="dxa"/>
            <w:tcBorders>
              <w:start w:val="single" w:sz="6" w:space="0" w:color="000000"/>
            </w:tcBorders>
          </w:tcPr>
          <w:p>
            <w:pPr>
              <w:pStyle w:val="Normal"/>
              <w:tabs>
                <w:tab w:val="clear" w:pos="720"/>
                <w:tab w:val="left" w:pos="2970" w:leader="none"/>
              </w:tabs>
              <w:rPr>
                <w:i/>
                <w:i/>
                <w:iCs/>
                <w:color w:val="0000FF"/>
              </w:rPr>
            </w:pPr>
            <w:r>
              <w:rPr>
                <w:i/>
                <w:iCs/>
                <w:color w:val="0000FF"/>
              </w:rPr>
              <w:t>None</w:t>
            </w:r>
          </w:p>
        </w:tc>
        <w:tc>
          <w:tcPr>
            <w:tcW w:w="1449" w:type="dxa"/>
            <w:tcBorders/>
          </w:tcPr>
          <w:p>
            <w:pPr>
              <w:pStyle w:val="Normal"/>
              <w:tabs>
                <w:tab w:val="clear" w:pos="720"/>
                <w:tab w:val="left" w:pos="2970" w:leader="none"/>
              </w:tabs>
              <w:snapToGrid w:val="false"/>
              <w:rPr>
                <w:i/>
                <w:i/>
                <w:iCs/>
                <w:color w:val="0000FF"/>
              </w:rPr>
            </w:pPr>
            <w:r>
              <w:rPr>
                <w:i/>
                <w:iCs/>
                <w:color w:val="0000FF"/>
              </w:rPr>
            </w:r>
          </w:p>
        </w:tc>
        <w:tc>
          <w:tcPr>
            <w:tcW w:w="1671" w:type="dxa"/>
            <w:tcBorders/>
          </w:tcPr>
          <w:p>
            <w:pPr>
              <w:pStyle w:val="Normal"/>
              <w:tabs>
                <w:tab w:val="clear" w:pos="720"/>
                <w:tab w:val="left" w:pos="2970" w:leader="none"/>
              </w:tabs>
              <w:snapToGrid w:val="false"/>
              <w:rPr>
                <w:i/>
                <w:i/>
                <w:iCs/>
                <w:color w:val="0000FF"/>
              </w:rPr>
            </w:pPr>
            <w:r>
              <w:rPr>
                <w:i/>
                <w:iCs/>
                <w:color w:val="0000FF"/>
              </w:rPr>
            </w:r>
          </w:p>
        </w:tc>
        <w:tc>
          <w:tcPr>
            <w:tcW w:w="1699" w:type="dxa"/>
            <w:tcBorders/>
          </w:tcPr>
          <w:p>
            <w:pPr>
              <w:pStyle w:val="Normal"/>
              <w:tabs>
                <w:tab w:val="clear" w:pos="720"/>
                <w:tab w:val="left" w:pos="2970" w:leader="none"/>
              </w:tabs>
              <w:snapToGrid w:val="false"/>
              <w:rPr>
                <w:i/>
                <w:i/>
                <w:iCs/>
                <w:color w:val="0000FF"/>
              </w:rPr>
            </w:pPr>
            <w:r>
              <w:rPr>
                <w:i/>
                <w:iCs/>
                <w:color w:val="0000FF"/>
              </w:rPr>
            </w:r>
          </w:p>
        </w:tc>
        <w:tc>
          <w:tcPr>
            <w:tcW w:w="883" w:type="dxa"/>
            <w:tcBorders/>
          </w:tcPr>
          <w:p>
            <w:pPr>
              <w:pStyle w:val="Normal"/>
              <w:tabs>
                <w:tab w:val="clear" w:pos="720"/>
                <w:tab w:val="left" w:pos="2970" w:leader="none"/>
              </w:tabs>
              <w:snapToGrid w:val="false"/>
              <w:jc w:val="center"/>
              <w:rPr>
                <w:i/>
                <w:i/>
                <w:iCs/>
                <w:color w:val="0000FF"/>
              </w:rPr>
            </w:pPr>
            <w:r>
              <w:rPr>
                <w:i/>
                <w:iCs/>
                <w:color w:val="0000FF"/>
              </w:rPr>
            </w:r>
          </w:p>
        </w:tc>
        <w:tc>
          <w:tcPr>
            <w:tcW w:w="953" w:type="dxa"/>
            <w:tcBorders/>
          </w:tcPr>
          <w:p>
            <w:pPr>
              <w:pStyle w:val="Normal"/>
              <w:tabs>
                <w:tab w:val="clear" w:pos="720"/>
                <w:tab w:val="left" w:pos="2970" w:leader="none"/>
              </w:tabs>
              <w:snapToGrid w:val="false"/>
              <w:jc w:val="center"/>
              <w:rPr>
                <w:i/>
                <w:i/>
                <w:iCs/>
                <w:color w:val="0000FF"/>
              </w:rPr>
            </w:pPr>
            <w:r>
              <w:rPr>
                <w:i/>
                <w:iCs/>
                <w:color w:val="0000FF"/>
              </w:rPr>
            </w:r>
          </w:p>
        </w:tc>
        <w:tc>
          <w:tcPr>
            <w:tcW w:w="955" w:type="dxa"/>
            <w:tcBorders>
              <w:end w:val="single" w:sz="6" w:space="0" w:color="000000"/>
            </w:tcBorders>
          </w:tcPr>
          <w:p>
            <w:pPr>
              <w:pStyle w:val="Normal"/>
              <w:tabs>
                <w:tab w:val="clear" w:pos="720"/>
                <w:tab w:val="left" w:pos="2970" w:leader="none"/>
              </w:tabs>
              <w:snapToGrid w:val="false"/>
              <w:jc w:val="center"/>
              <w:rPr>
                <w:i/>
                <w:i/>
                <w:iCs/>
                <w:color w:val="0000FF"/>
              </w:rPr>
            </w:pPr>
            <w:r>
              <w:rPr>
                <w:i/>
                <w:iCs/>
                <w:color w:val="0000FF"/>
              </w:rPr>
            </w:r>
          </w:p>
        </w:tc>
      </w:tr>
      <w:tr>
        <w:trPr>
          <w:trHeight w:val="200" w:hRule="atLeast"/>
        </w:trPr>
        <w:tc>
          <w:tcPr>
            <w:tcW w:w="3461" w:type="dxa"/>
            <w:tcBorders>
              <w:start w:val="single" w:sz="6" w:space="0" w:color="000000"/>
            </w:tcBorders>
          </w:tcPr>
          <w:p>
            <w:pPr>
              <w:pStyle w:val="Normal"/>
              <w:tabs>
                <w:tab w:val="clear" w:pos="720"/>
                <w:tab w:val="left" w:pos="2970" w:leader="none"/>
              </w:tabs>
              <w:rPr>
                <w:i/>
                <w:i/>
                <w:iCs/>
                <w:color w:val="008000"/>
              </w:rPr>
            </w:pPr>
            <w:r>
              <w:rPr>
                <w:i/>
                <w:iCs/>
                <w:color w:val="008000"/>
              </w:rPr>
              <w:t>Trades Added Today</w:t>
            </w:r>
          </w:p>
        </w:tc>
        <w:tc>
          <w:tcPr>
            <w:tcW w:w="1449" w:type="dxa"/>
            <w:tcBorders/>
          </w:tcPr>
          <w:p>
            <w:pPr>
              <w:pStyle w:val="Normal"/>
              <w:tabs>
                <w:tab w:val="clear" w:pos="720"/>
                <w:tab w:val="left" w:pos="2970" w:leader="none"/>
              </w:tabs>
              <w:snapToGrid w:val="false"/>
              <w:rPr>
                <w:i/>
                <w:i/>
                <w:iCs/>
                <w:color w:val="008000"/>
              </w:rPr>
            </w:pPr>
            <w:r>
              <w:rPr>
                <w:i/>
                <w:iCs/>
                <w:color w:val="008000"/>
              </w:rPr>
            </w:r>
          </w:p>
        </w:tc>
        <w:tc>
          <w:tcPr>
            <w:tcW w:w="1671" w:type="dxa"/>
            <w:tcBorders/>
          </w:tcPr>
          <w:p>
            <w:pPr>
              <w:pStyle w:val="Normal"/>
              <w:tabs>
                <w:tab w:val="clear" w:pos="720"/>
                <w:tab w:val="left" w:pos="2970" w:leader="none"/>
              </w:tabs>
              <w:snapToGrid w:val="false"/>
              <w:rPr>
                <w:i/>
                <w:i/>
                <w:iCs/>
                <w:color w:val="008000"/>
              </w:rPr>
            </w:pPr>
            <w:r>
              <w:rPr>
                <w:i/>
                <w:iCs/>
                <w:color w:val="008000"/>
              </w:rPr>
            </w:r>
          </w:p>
        </w:tc>
        <w:tc>
          <w:tcPr>
            <w:tcW w:w="1699" w:type="dxa"/>
            <w:tcBorders/>
          </w:tcPr>
          <w:p>
            <w:pPr>
              <w:pStyle w:val="Normal"/>
              <w:tabs>
                <w:tab w:val="clear" w:pos="720"/>
                <w:tab w:val="left" w:pos="2970" w:leader="none"/>
              </w:tabs>
              <w:snapToGrid w:val="false"/>
              <w:rPr>
                <w:i/>
                <w:i/>
                <w:iCs/>
                <w:color w:val="008000"/>
              </w:rPr>
            </w:pPr>
            <w:r>
              <w:rPr>
                <w:i/>
                <w:iCs/>
                <w:color w:val="008000"/>
              </w:rPr>
            </w:r>
          </w:p>
        </w:tc>
        <w:tc>
          <w:tcPr>
            <w:tcW w:w="883" w:type="dxa"/>
            <w:tcBorders/>
          </w:tcPr>
          <w:p>
            <w:pPr>
              <w:pStyle w:val="Normal"/>
              <w:tabs>
                <w:tab w:val="clear" w:pos="720"/>
                <w:tab w:val="left" w:pos="2970" w:leader="none"/>
              </w:tabs>
              <w:snapToGrid w:val="false"/>
              <w:jc w:val="center"/>
              <w:rPr>
                <w:i/>
                <w:i/>
                <w:iCs/>
                <w:color w:val="008000"/>
              </w:rPr>
            </w:pPr>
            <w:r>
              <w:rPr>
                <w:i/>
                <w:iCs/>
                <w:color w:val="008000"/>
              </w:rPr>
            </w:r>
          </w:p>
        </w:tc>
        <w:tc>
          <w:tcPr>
            <w:tcW w:w="953" w:type="dxa"/>
            <w:tcBorders/>
          </w:tcPr>
          <w:p>
            <w:pPr>
              <w:pStyle w:val="Normal"/>
              <w:tabs>
                <w:tab w:val="clear" w:pos="720"/>
                <w:tab w:val="left" w:pos="2970" w:leader="none"/>
              </w:tabs>
              <w:snapToGrid w:val="false"/>
              <w:jc w:val="center"/>
              <w:rPr>
                <w:i/>
                <w:i/>
                <w:iCs/>
                <w:color w:val="008000"/>
              </w:rPr>
            </w:pPr>
            <w:r>
              <w:rPr>
                <w:i/>
                <w:iCs/>
                <w:color w:val="008000"/>
              </w:rPr>
            </w:r>
          </w:p>
        </w:tc>
        <w:tc>
          <w:tcPr>
            <w:tcW w:w="955" w:type="dxa"/>
            <w:tcBorders>
              <w:end w:val="single" w:sz="6" w:space="0" w:color="000000"/>
            </w:tcBorders>
          </w:tcPr>
          <w:p>
            <w:pPr>
              <w:pStyle w:val="Normal"/>
              <w:tabs>
                <w:tab w:val="clear" w:pos="720"/>
                <w:tab w:val="left" w:pos="2970" w:leader="none"/>
              </w:tabs>
              <w:snapToGrid w:val="false"/>
              <w:jc w:val="center"/>
              <w:rPr>
                <w:i/>
                <w:i/>
                <w:iCs/>
                <w:color w:val="008000"/>
              </w:rPr>
            </w:pPr>
            <w:r>
              <w:rPr>
                <w:i/>
                <w:iCs/>
                <w:color w:val="008000"/>
              </w:rPr>
            </w:r>
          </w:p>
        </w:tc>
      </w:tr>
      <w:tr>
        <w:trPr>
          <w:trHeight w:val="200" w:hRule="atLeast"/>
        </w:trPr>
        <w:tc>
          <w:tcPr>
            <w:tcW w:w="3461" w:type="dxa"/>
            <w:tcBorders>
              <w:start w:val="single" w:sz="6" w:space="0" w:color="000000"/>
            </w:tcBorders>
          </w:tcPr>
          <w:p>
            <w:pPr>
              <w:pStyle w:val="Normal"/>
              <w:tabs>
                <w:tab w:val="clear" w:pos="720"/>
                <w:tab w:val="left" w:pos="2970" w:leader="none"/>
              </w:tabs>
              <w:rPr>
                <w:i/>
                <w:i/>
                <w:iCs/>
                <w:color w:val="008000"/>
              </w:rPr>
            </w:pPr>
            <w:r>
              <w:rPr>
                <w:i/>
                <w:iCs/>
                <w:color w:val="008000"/>
              </w:rPr>
              <w:t>None</w:t>
            </w:r>
          </w:p>
        </w:tc>
        <w:tc>
          <w:tcPr>
            <w:tcW w:w="1449" w:type="dxa"/>
            <w:tcBorders/>
          </w:tcPr>
          <w:p>
            <w:pPr>
              <w:pStyle w:val="Normal"/>
              <w:tabs>
                <w:tab w:val="clear" w:pos="720"/>
                <w:tab w:val="left" w:pos="2970" w:leader="none"/>
              </w:tabs>
              <w:snapToGrid w:val="false"/>
              <w:rPr>
                <w:i/>
                <w:i/>
                <w:iCs/>
                <w:color w:val="008000"/>
              </w:rPr>
            </w:pPr>
            <w:r>
              <w:rPr>
                <w:i/>
                <w:iCs/>
                <w:color w:val="008000"/>
              </w:rPr>
            </w:r>
          </w:p>
        </w:tc>
        <w:tc>
          <w:tcPr>
            <w:tcW w:w="1671" w:type="dxa"/>
            <w:tcBorders/>
          </w:tcPr>
          <w:p>
            <w:pPr>
              <w:pStyle w:val="Normal"/>
              <w:tabs>
                <w:tab w:val="clear" w:pos="720"/>
                <w:tab w:val="left" w:pos="2970" w:leader="none"/>
              </w:tabs>
              <w:snapToGrid w:val="false"/>
              <w:rPr>
                <w:i/>
                <w:i/>
                <w:iCs/>
                <w:color w:val="008000"/>
              </w:rPr>
            </w:pPr>
            <w:r>
              <w:rPr>
                <w:i/>
                <w:iCs/>
                <w:color w:val="008000"/>
              </w:rPr>
            </w:r>
          </w:p>
        </w:tc>
        <w:tc>
          <w:tcPr>
            <w:tcW w:w="1699" w:type="dxa"/>
            <w:tcBorders/>
          </w:tcPr>
          <w:p>
            <w:pPr>
              <w:pStyle w:val="Normal"/>
              <w:tabs>
                <w:tab w:val="clear" w:pos="720"/>
                <w:tab w:val="left" w:pos="2970" w:leader="none"/>
              </w:tabs>
              <w:snapToGrid w:val="false"/>
              <w:rPr>
                <w:i/>
                <w:i/>
                <w:iCs/>
                <w:color w:val="008000"/>
              </w:rPr>
            </w:pPr>
            <w:r>
              <w:rPr>
                <w:i/>
                <w:iCs/>
                <w:color w:val="008000"/>
              </w:rPr>
            </w:r>
          </w:p>
        </w:tc>
        <w:tc>
          <w:tcPr>
            <w:tcW w:w="883" w:type="dxa"/>
            <w:tcBorders/>
          </w:tcPr>
          <w:p>
            <w:pPr>
              <w:pStyle w:val="Normal"/>
              <w:tabs>
                <w:tab w:val="clear" w:pos="720"/>
                <w:tab w:val="left" w:pos="2970" w:leader="none"/>
              </w:tabs>
              <w:snapToGrid w:val="false"/>
              <w:jc w:val="center"/>
              <w:rPr>
                <w:i/>
                <w:i/>
                <w:iCs/>
                <w:color w:val="008000"/>
              </w:rPr>
            </w:pPr>
            <w:r>
              <w:rPr>
                <w:i/>
                <w:iCs/>
                <w:color w:val="008000"/>
              </w:rPr>
            </w:r>
          </w:p>
        </w:tc>
        <w:tc>
          <w:tcPr>
            <w:tcW w:w="953" w:type="dxa"/>
            <w:tcBorders/>
          </w:tcPr>
          <w:p>
            <w:pPr>
              <w:pStyle w:val="Normal"/>
              <w:tabs>
                <w:tab w:val="clear" w:pos="720"/>
                <w:tab w:val="left" w:pos="2970" w:leader="none"/>
              </w:tabs>
              <w:snapToGrid w:val="false"/>
              <w:jc w:val="center"/>
              <w:rPr>
                <w:i/>
                <w:i/>
                <w:iCs/>
                <w:color w:val="008000"/>
              </w:rPr>
            </w:pPr>
            <w:r>
              <w:rPr>
                <w:i/>
                <w:iCs/>
                <w:color w:val="008000"/>
              </w:rPr>
            </w:r>
          </w:p>
        </w:tc>
        <w:tc>
          <w:tcPr>
            <w:tcW w:w="955" w:type="dxa"/>
            <w:tcBorders>
              <w:end w:val="single" w:sz="6" w:space="0" w:color="000000"/>
            </w:tcBorders>
          </w:tcPr>
          <w:p>
            <w:pPr>
              <w:pStyle w:val="Normal"/>
              <w:tabs>
                <w:tab w:val="clear" w:pos="720"/>
                <w:tab w:val="left" w:pos="2970" w:leader="none"/>
              </w:tabs>
              <w:snapToGrid w:val="false"/>
              <w:jc w:val="center"/>
              <w:rPr>
                <w:i/>
                <w:i/>
                <w:iCs/>
                <w:color w:val="008000"/>
              </w:rPr>
            </w:pPr>
            <w:r>
              <w:rPr>
                <w:i/>
                <w:iCs/>
                <w:color w:val="008000"/>
              </w:rPr>
            </w:r>
          </w:p>
        </w:tc>
      </w:tr>
      <w:tr>
        <w:trPr>
          <w:trHeight w:val="200" w:hRule="atLeast"/>
        </w:trPr>
        <w:tc>
          <w:tcPr>
            <w:tcW w:w="3461" w:type="dxa"/>
            <w:tcBorders>
              <w:start w:val="single" w:sz="6" w:space="0" w:color="000000"/>
            </w:tcBorders>
          </w:tcPr>
          <w:p>
            <w:pPr>
              <w:pStyle w:val="Normal"/>
              <w:tabs>
                <w:tab w:val="clear" w:pos="720"/>
                <w:tab w:val="left" w:pos="2970" w:leader="none"/>
              </w:tabs>
              <w:rPr>
                <w:i/>
                <w:i/>
                <w:iCs/>
                <w:color w:val="000000"/>
              </w:rPr>
            </w:pPr>
            <w:r>
              <w:rPr>
                <w:i/>
                <w:iCs/>
                <w:color w:val="000000"/>
              </w:rPr>
              <w:t>Previous Recommendations</w:t>
            </w:r>
          </w:p>
        </w:tc>
        <w:tc>
          <w:tcPr>
            <w:tcW w:w="1449" w:type="dxa"/>
            <w:tcBorders/>
          </w:tcPr>
          <w:p>
            <w:pPr>
              <w:pStyle w:val="Normal"/>
              <w:tabs>
                <w:tab w:val="clear" w:pos="720"/>
                <w:tab w:val="left" w:pos="2970" w:leader="none"/>
              </w:tabs>
              <w:snapToGrid w:val="false"/>
              <w:rPr>
                <w:i/>
                <w:i/>
                <w:iCs/>
                <w:color w:val="000000"/>
              </w:rPr>
            </w:pPr>
            <w:r>
              <w:rPr>
                <w:i/>
                <w:iCs/>
                <w:color w:val="000000"/>
              </w:rPr>
            </w:r>
          </w:p>
        </w:tc>
        <w:tc>
          <w:tcPr>
            <w:tcW w:w="1671" w:type="dxa"/>
            <w:tcBorders/>
          </w:tcPr>
          <w:p>
            <w:pPr>
              <w:pStyle w:val="Normal"/>
              <w:tabs>
                <w:tab w:val="clear" w:pos="720"/>
                <w:tab w:val="left" w:pos="2970" w:leader="none"/>
              </w:tabs>
              <w:snapToGrid w:val="false"/>
              <w:rPr>
                <w:i/>
                <w:i/>
                <w:iCs/>
                <w:color w:val="000000"/>
              </w:rPr>
            </w:pPr>
            <w:r>
              <w:rPr>
                <w:i/>
                <w:iCs/>
                <w:color w:val="000000"/>
              </w:rPr>
            </w:r>
          </w:p>
        </w:tc>
        <w:tc>
          <w:tcPr>
            <w:tcW w:w="1699" w:type="dxa"/>
            <w:tcBorders/>
          </w:tcPr>
          <w:p>
            <w:pPr>
              <w:pStyle w:val="Normal"/>
              <w:tabs>
                <w:tab w:val="clear" w:pos="720"/>
                <w:tab w:val="left" w:pos="2970" w:leader="none"/>
              </w:tabs>
              <w:snapToGrid w:val="false"/>
              <w:rPr>
                <w:i/>
                <w:i/>
                <w:iCs/>
                <w:color w:val="000000"/>
              </w:rPr>
            </w:pPr>
            <w:r>
              <w:rPr>
                <w:i/>
                <w:iCs/>
                <w:color w:val="000000"/>
              </w:rPr>
            </w:r>
          </w:p>
        </w:tc>
        <w:tc>
          <w:tcPr>
            <w:tcW w:w="883" w:type="dxa"/>
            <w:tcBorders/>
          </w:tcPr>
          <w:p>
            <w:pPr>
              <w:pStyle w:val="Normal"/>
              <w:tabs>
                <w:tab w:val="clear" w:pos="720"/>
                <w:tab w:val="left" w:pos="2970" w:leader="none"/>
              </w:tabs>
              <w:snapToGrid w:val="false"/>
              <w:jc w:val="center"/>
              <w:rPr>
                <w:i/>
                <w:i/>
                <w:iCs/>
                <w:color w:val="000000"/>
              </w:rPr>
            </w:pPr>
            <w:r>
              <w:rPr>
                <w:i/>
                <w:iCs/>
                <w:color w:val="000000"/>
              </w:rPr>
            </w:r>
          </w:p>
        </w:tc>
        <w:tc>
          <w:tcPr>
            <w:tcW w:w="953" w:type="dxa"/>
            <w:tcBorders/>
          </w:tcPr>
          <w:p>
            <w:pPr>
              <w:pStyle w:val="Normal"/>
              <w:tabs>
                <w:tab w:val="clear" w:pos="720"/>
                <w:tab w:val="left" w:pos="2970" w:leader="none"/>
              </w:tabs>
              <w:snapToGrid w:val="false"/>
              <w:jc w:val="center"/>
              <w:rPr>
                <w:i/>
                <w:i/>
                <w:iCs/>
                <w:color w:val="000000"/>
              </w:rPr>
            </w:pPr>
            <w:r>
              <w:rPr>
                <w:i/>
                <w:iCs/>
                <w:color w:val="000000"/>
              </w:rPr>
            </w:r>
          </w:p>
        </w:tc>
        <w:tc>
          <w:tcPr>
            <w:tcW w:w="955" w:type="dxa"/>
            <w:tcBorders>
              <w:end w:val="single" w:sz="6" w:space="0" w:color="000000"/>
            </w:tcBorders>
          </w:tcPr>
          <w:p>
            <w:pPr>
              <w:pStyle w:val="Normal"/>
              <w:tabs>
                <w:tab w:val="clear" w:pos="720"/>
                <w:tab w:val="left" w:pos="2970" w:leader="none"/>
              </w:tabs>
              <w:snapToGrid w:val="false"/>
              <w:jc w:val="center"/>
              <w:rPr>
                <w:i/>
                <w:i/>
                <w:iCs/>
                <w:color w:val="000000"/>
              </w:rPr>
            </w:pPr>
            <w:r>
              <w:rPr>
                <w:i/>
                <w:iCs/>
                <w:color w:val="000000"/>
              </w:rPr>
            </w:r>
          </w:p>
        </w:tc>
      </w:tr>
      <w:tr>
        <w:trPr>
          <w:trHeight w:val="200" w:hRule="atLeast"/>
        </w:trPr>
        <w:tc>
          <w:tcPr>
            <w:tcW w:w="3461" w:type="dxa"/>
            <w:tcBorders>
              <w:start w:val="single" w:sz="6" w:space="0" w:color="000000"/>
            </w:tcBorders>
          </w:tcPr>
          <w:p>
            <w:pPr>
              <w:pStyle w:val="Normal"/>
              <w:tabs>
                <w:tab w:val="clear" w:pos="720"/>
                <w:tab w:val="left" w:pos="2970" w:leader="none"/>
              </w:tabs>
              <w:rPr>
                <w:i/>
                <w:i/>
                <w:iCs/>
                <w:color w:val="000000"/>
                <w:u w:val="single"/>
              </w:rPr>
            </w:pPr>
            <w:r>
              <w:rPr>
                <w:i/>
                <w:iCs/>
                <w:color w:val="000000"/>
                <w:u w:val="single"/>
              </w:rPr>
              <w:t>NYMEX #</w:t>
            </w:r>
          </w:p>
        </w:tc>
        <w:tc>
          <w:tcPr>
            <w:tcW w:w="1449" w:type="dxa"/>
            <w:tcBorders/>
          </w:tcPr>
          <w:p>
            <w:pPr>
              <w:pStyle w:val="Normal"/>
              <w:tabs>
                <w:tab w:val="clear" w:pos="720"/>
                <w:tab w:val="left" w:pos="2970" w:leader="none"/>
              </w:tabs>
              <w:rPr>
                <w:i/>
                <w:i/>
                <w:iCs/>
                <w:color w:val="000000"/>
                <w:u w:val="single"/>
              </w:rPr>
            </w:pPr>
            <w:r>
              <w:rPr>
                <w:i/>
                <w:iCs/>
                <w:color w:val="000000"/>
                <w:u w:val="single"/>
              </w:rPr>
              <w:t>Nov 7</w:t>
            </w:r>
          </w:p>
        </w:tc>
        <w:tc>
          <w:tcPr>
            <w:tcW w:w="1671" w:type="dxa"/>
            <w:tcBorders/>
          </w:tcPr>
          <w:p>
            <w:pPr>
              <w:pStyle w:val="Normal"/>
              <w:tabs>
                <w:tab w:val="clear" w:pos="720"/>
                <w:tab w:val="left" w:pos="2970" w:leader="none"/>
              </w:tabs>
              <w:rPr>
                <w:i/>
                <w:i/>
                <w:iCs/>
                <w:color w:val="000000"/>
                <w:u w:val="single"/>
              </w:rPr>
            </w:pPr>
            <w:r>
              <w:rPr>
                <w:i/>
                <w:iCs/>
                <w:color w:val="000000"/>
                <w:u w:val="single"/>
              </w:rPr>
              <w:t>Jan WTI</w:t>
            </w:r>
          </w:p>
        </w:tc>
        <w:tc>
          <w:tcPr>
            <w:tcW w:w="1699" w:type="dxa"/>
            <w:tcBorders/>
          </w:tcPr>
          <w:p>
            <w:pPr>
              <w:pStyle w:val="Normal"/>
              <w:tabs>
                <w:tab w:val="clear" w:pos="720"/>
                <w:tab w:val="left" w:pos="2970" w:leader="none"/>
              </w:tabs>
              <w:rPr>
                <w:i/>
                <w:i/>
                <w:iCs/>
                <w:color w:val="000000"/>
                <w:u w:val="single"/>
              </w:rPr>
            </w:pPr>
            <w:r>
              <w:rPr>
                <w:i/>
                <w:iCs/>
                <w:color w:val="000000"/>
                <w:u w:val="single"/>
              </w:rPr>
              <w:t>Dec WTI</w:t>
            </w:r>
          </w:p>
        </w:tc>
        <w:tc>
          <w:tcPr>
            <w:tcW w:w="883" w:type="dxa"/>
            <w:tcBorders/>
          </w:tcPr>
          <w:p>
            <w:pPr>
              <w:pStyle w:val="Normal"/>
              <w:tabs>
                <w:tab w:val="clear" w:pos="720"/>
                <w:tab w:val="left" w:pos="2970" w:leader="none"/>
              </w:tabs>
              <w:jc w:val="center"/>
              <w:rPr>
                <w:i/>
                <w:i/>
                <w:iCs/>
                <w:color w:val="000000"/>
                <w:u w:val="single"/>
              </w:rPr>
            </w:pPr>
            <w:r>
              <w:rPr>
                <w:i/>
                <w:iCs/>
                <w:color w:val="000000"/>
                <w:u w:val="single"/>
              </w:rPr>
              <w:t>-1.11</w:t>
            </w:r>
          </w:p>
        </w:tc>
        <w:tc>
          <w:tcPr>
            <w:tcW w:w="953" w:type="dxa"/>
            <w:tcBorders/>
          </w:tcPr>
          <w:p>
            <w:pPr>
              <w:pStyle w:val="Normal"/>
              <w:tabs>
                <w:tab w:val="clear" w:pos="720"/>
                <w:tab w:val="left" w:pos="2970" w:leader="none"/>
              </w:tabs>
              <w:jc w:val="center"/>
              <w:rPr>
                <w:i/>
                <w:i/>
                <w:iCs/>
                <w:color w:val="000000"/>
                <w:u w:val="single"/>
              </w:rPr>
            </w:pPr>
            <w:r>
              <w:rPr>
                <w:i/>
                <w:iCs/>
                <w:color w:val="000000"/>
                <w:u w:val="single"/>
              </w:rPr>
              <w:t>-0.80</w:t>
            </w:r>
          </w:p>
        </w:tc>
        <w:tc>
          <w:tcPr>
            <w:tcW w:w="955" w:type="dxa"/>
            <w:tcBorders>
              <w:end w:val="single" w:sz="6" w:space="0" w:color="000000"/>
            </w:tcBorders>
          </w:tcPr>
          <w:p>
            <w:pPr>
              <w:pStyle w:val="Normal"/>
              <w:tabs>
                <w:tab w:val="clear" w:pos="720"/>
                <w:tab w:val="left" w:pos="2970" w:leader="none"/>
              </w:tabs>
              <w:jc w:val="center"/>
              <w:rPr>
                <w:i/>
                <w:i/>
                <w:iCs/>
                <w:color w:val="000000"/>
                <w:u w:val="single"/>
              </w:rPr>
            </w:pPr>
            <w:r>
              <w:rPr>
                <w:i/>
                <w:iCs/>
                <w:color w:val="000000"/>
                <w:u w:val="single"/>
              </w:rPr>
              <w:t>-0.96</w:t>
            </w:r>
          </w:p>
        </w:tc>
      </w:tr>
      <w:tr>
        <w:trPr>
          <w:trHeight w:val="200" w:hRule="atLeast"/>
        </w:trPr>
        <w:tc>
          <w:tcPr>
            <w:tcW w:w="3461" w:type="dxa"/>
            <w:tcBorders>
              <w:start w:val="single" w:sz="6" w:space="0" w:color="000000"/>
              <w:bottom w:val="single" w:sz="6" w:space="0" w:color="000000"/>
            </w:tcBorders>
          </w:tcPr>
          <w:p>
            <w:pPr>
              <w:pStyle w:val="Normal"/>
              <w:tabs>
                <w:tab w:val="clear" w:pos="720"/>
                <w:tab w:val="left" w:pos="2970" w:leader="none"/>
              </w:tabs>
              <w:rPr/>
            </w:pPr>
            <w:r>
              <w:rPr/>
              <w:t xml:space="preserve">     </w:t>
            </w:r>
            <w:r>
              <w:rPr>
                <w:b/>
                <w:bCs/>
              </w:rPr>
              <w:t xml:space="preserve">     </w:t>
            </w:r>
            <w:r>
              <w:rPr>
                <w:b/>
                <w:bCs/>
                <w:i/>
                <w:iCs/>
                <w:u w:val="single"/>
              </w:rPr>
              <w:t># Exit these trades.</w:t>
            </w:r>
          </w:p>
        </w:tc>
        <w:tc>
          <w:tcPr>
            <w:tcW w:w="1449" w:type="dxa"/>
            <w:tcBorders>
              <w:bottom w:val="single" w:sz="6" w:space="0" w:color="000000"/>
            </w:tcBorders>
          </w:tcPr>
          <w:p>
            <w:pPr>
              <w:pStyle w:val="Normal"/>
              <w:tabs>
                <w:tab w:val="clear" w:pos="720"/>
                <w:tab w:val="left" w:pos="2970" w:leader="none"/>
              </w:tabs>
              <w:snapToGrid w:val="false"/>
              <w:rPr>
                <w:b/>
                <w:bCs/>
                <w:i/>
                <w:i/>
                <w:iCs/>
                <w:u w:val="single"/>
              </w:rPr>
            </w:pPr>
            <w:r>
              <w:rPr>
                <w:b/>
                <w:bCs/>
                <w:i/>
                <w:iCs/>
                <w:u w:val="single"/>
              </w:rPr>
            </w:r>
          </w:p>
        </w:tc>
        <w:tc>
          <w:tcPr>
            <w:tcW w:w="1671" w:type="dxa"/>
            <w:tcBorders>
              <w:bottom w:val="single" w:sz="6" w:space="0" w:color="000000"/>
            </w:tcBorders>
          </w:tcPr>
          <w:p>
            <w:pPr>
              <w:pStyle w:val="Normal"/>
              <w:tabs>
                <w:tab w:val="clear" w:pos="720"/>
                <w:tab w:val="left" w:pos="2970" w:leader="none"/>
              </w:tabs>
              <w:snapToGrid w:val="false"/>
              <w:rPr>
                <w:b/>
                <w:bCs/>
                <w:i/>
                <w:i/>
                <w:iCs/>
              </w:rPr>
            </w:pPr>
            <w:r>
              <w:rPr>
                <w:b/>
                <w:bCs/>
                <w:i/>
                <w:iCs/>
              </w:rPr>
            </w:r>
          </w:p>
        </w:tc>
        <w:tc>
          <w:tcPr>
            <w:tcW w:w="1699" w:type="dxa"/>
            <w:tcBorders>
              <w:bottom w:val="single" w:sz="6" w:space="0" w:color="000000"/>
            </w:tcBorders>
          </w:tcPr>
          <w:p>
            <w:pPr>
              <w:pStyle w:val="Normal"/>
              <w:tabs>
                <w:tab w:val="clear" w:pos="720"/>
                <w:tab w:val="left" w:pos="2970" w:leader="none"/>
              </w:tabs>
              <w:snapToGrid w:val="false"/>
              <w:rPr>
                <w:b/>
                <w:bCs/>
                <w:i/>
                <w:i/>
                <w:iCs/>
              </w:rPr>
            </w:pPr>
            <w:r>
              <w:rPr>
                <w:b/>
                <w:bCs/>
                <w:i/>
                <w:iCs/>
              </w:rPr>
            </w:r>
          </w:p>
        </w:tc>
        <w:tc>
          <w:tcPr>
            <w:tcW w:w="883" w:type="dxa"/>
            <w:tcBorders>
              <w:bottom w:val="single" w:sz="6" w:space="0" w:color="000000"/>
            </w:tcBorders>
          </w:tcPr>
          <w:p>
            <w:pPr>
              <w:pStyle w:val="Normal"/>
              <w:tabs>
                <w:tab w:val="clear" w:pos="720"/>
                <w:tab w:val="left" w:pos="2970" w:leader="none"/>
              </w:tabs>
              <w:snapToGrid w:val="false"/>
              <w:jc w:val="center"/>
              <w:rPr>
                <w:b/>
                <w:bCs/>
                <w:i/>
                <w:i/>
                <w:iCs/>
              </w:rPr>
            </w:pPr>
            <w:r>
              <w:rPr>
                <w:b/>
                <w:bCs/>
                <w:i/>
                <w:iCs/>
              </w:rPr>
            </w:r>
          </w:p>
        </w:tc>
        <w:tc>
          <w:tcPr>
            <w:tcW w:w="953" w:type="dxa"/>
            <w:tcBorders>
              <w:bottom w:val="single" w:sz="6" w:space="0" w:color="000000"/>
            </w:tcBorders>
          </w:tcPr>
          <w:p>
            <w:pPr>
              <w:pStyle w:val="Normal"/>
              <w:tabs>
                <w:tab w:val="clear" w:pos="720"/>
                <w:tab w:val="left" w:pos="2970" w:leader="none"/>
              </w:tabs>
              <w:snapToGrid w:val="false"/>
              <w:jc w:val="center"/>
              <w:rPr>
                <w:b/>
                <w:bCs/>
                <w:i/>
                <w:i/>
                <w:iCs/>
              </w:rPr>
            </w:pPr>
            <w:r>
              <w:rPr>
                <w:b/>
                <w:bCs/>
                <w:i/>
                <w:iCs/>
              </w:rPr>
            </w:r>
          </w:p>
        </w:tc>
        <w:tc>
          <w:tcPr>
            <w:tcW w:w="955" w:type="dxa"/>
            <w:tcBorders>
              <w:bottom w:val="single" w:sz="6" w:space="0" w:color="000000"/>
              <w:end w:val="single" w:sz="6" w:space="0" w:color="000000"/>
            </w:tcBorders>
          </w:tcPr>
          <w:p>
            <w:pPr>
              <w:pStyle w:val="Normal"/>
              <w:tabs>
                <w:tab w:val="clear" w:pos="720"/>
                <w:tab w:val="left" w:pos="2970" w:leader="none"/>
              </w:tabs>
              <w:snapToGrid w:val="false"/>
              <w:jc w:val="center"/>
              <w:rPr>
                <w:b/>
                <w:bCs/>
                <w:i/>
                <w:i/>
                <w:iCs/>
              </w:rPr>
            </w:pPr>
            <w:r>
              <w:rPr>
                <w:b/>
                <w:bCs/>
                <w:i/>
                <w:iCs/>
              </w:rPr>
            </w:r>
          </w:p>
        </w:tc>
      </w:tr>
    </w:tbl>
    <w:p>
      <w:pPr>
        <w:pStyle w:val="Normal"/>
        <w:jc w:val="both"/>
        <w:rPr>
          <w:sz w:val="24"/>
          <w:szCs w:val="24"/>
        </w:rPr>
      </w:pPr>
      <w:r>
        <w:rPr>
          <w:sz w:val="24"/>
          <w:szCs w:val="24"/>
        </w:rPr>
        <w:t>No responsibility assumed nor warranties made for use of these Trade Recommendations.</w:t>
      </w:r>
    </w:p>
    <w:p>
      <w:pPr>
        <w:pStyle w:val="Normal"/>
        <w:jc w:val="both"/>
        <w:rPr>
          <w:sz w:val="24"/>
          <w:szCs w:val="24"/>
        </w:rPr>
      </w:pPr>
      <w:r>
        <w:rPr>
          <w:sz w:val="24"/>
          <w:szCs w:val="24"/>
        </w:rPr>
      </w:r>
    </w:p>
    <w:p>
      <w:pPr>
        <w:pStyle w:val="Normal"/>
        <w:pBdr>
          <w:top w:val="single" w:sz="18" w:space="1" w:color="0000FF"/>
          <w:left w:val="single" w:sz="18" w:space="1" w:color="0000FF"/>
          <w:bottom w:val="single" w:sz="18" w:space="1" w:color="0000FF"/>
          <w:right w:val="single" w:sz="18" w:space="1" w:color="0000FF"/>
        </w:pBdr>
        <w:jc w:val="center"/>
        <w:rPr>
          <w:b/>
          <w:bCs/>
          <w:color w:val="0000FF"/>
          <w:sz w:val="24"/>
          <w:szCs w:val="24"/>
        </w:rPr>
      </w:pPr>
      <w:r>
        <w:rPr>
          <w:b/>
          <w:bCs/>
          <w:color w:val="0000FF"/>
          <w:sz w:val="24"/>
          <w:szCs w:val="24"/>
        </w:rPr>
        <w:t>Atlantic Basin Current Margins</w:t>
      </w:r>
    </w:p>
    <w:p>
      <w:pPr>
        <w:pStyle w:val="Normal"/>
        <w:jc w:val="center"/>
        <w:rPr>
          <w:b/>
          <w:bCs/>
          <w:color w:val="0000FF"/>
          <w:sz w:val="24"/>
          <w:szCs w:val="24"/>
          <w:lang w:val="en-CA"/>
        </w:rPr>
      </w:pPr>
      <w:r>
        <w:rPr>
          <w:b/>
          <w:bCs/>
          <w:color w:val="0000FF"/>
          <w:sz w:val="24"/>
          <w:szCs w:val="24"/>
          <w:lang w:val="en-CA"/>
        </w:rPr>
      </w:r>
    </w:p>
    <w:tbl>
      <w:tblPr>
        <w:tblW w:w="10919" w:type="dxa"/>
        <w:jc w:val="start"/>
        <w:tblInd w:w="0" w:type="dxa"/>
        <w:tblLayout w:type="fixed"/>
        <w:tblCellMar>
          <w:top w:w="0" w:type="dxa"/>
          <w:start w:w="30" w:type="dxa"/>
          <w:bottom w:w="0" w:type="dxa"/>
          <w:end w:w="30" w:type="dxa"/>
        </w:tblCellMar>
      </w:tblPr>
      <w:tblGrid>
        <w:gridCol w:w="1920"/>
        <w:gridCol w:w="2790"/>
        <w:gridCol w:w="84"/>
        <w:gridCol w:w="2886"/>
        <w:gridCol w:w="106"/>
        <w:gridCol w:w="3133"/>
      </w:tblGrid>
      <w:tr>
        <w:trPr>
          <w:trHeight w:val="294" w:hRule="atLeast"/>
        </w:trPr>
        <w:tc>
          <w:tcPr>
            <w:tcW w:w="1920" w:type="dxa"/>
            <w:tcBorders>
              <w:top w:val="single" w:sz="6" w:space="0" w:color="000000"/>
              <w:start w:val="single" w:sz="6" w:space="0" w:color="000000"/>
              <w:end w:val="dashed" w:sz="6" w:space="0" w:color="auto"/>
            </w:tcBorders>
          </w:tcPr>
          <w:p>
            <w:pPr>
              <w:pStyle w:val="Normal"/>
              <w:snapToGrid w:val="false"/>
              <w:jc w:val="end"/>
              <w:rPr>
                <w:rFonts w:ascii="Arial" w:hAnsi="Arial" w:eastAsia="Arial" w:cs="Arial"/>
                <w:color w:val="000000"/>
                <w:sz w:val="24"/>
                <w:szCs w:val="24"/>
              </w:rPr>
            </w:pPr>
            <w:r>
              <w:rPr>
                <w:rFonts w:eastAsia="Arial" w:cs="Arial" w:ascii="Arial" w:hAnsi="Arial"/>
                <w:color w:val="000000"/>
                <w:sz w:val="24"/>
                <w:szCs w:val="24"/>
              </w:rPr>
            </w:r>
          </w:p>
        </w:tc>
        <w:tc>
          <w:tcPr>
            <w:tcW w:w="8999" w:type="dxa"/>
            <w:gridSpan w:val="5"/>
            <w:tcBorders>
              <w:top w:val="single" w:sz="6" w:space="0" w:color="000000"/>
              <w:start w:val="single" w:sz="6" w:space="0" w:color="000000"/>
              <w:bottom w:val="dashed" w:sz="6" w:space="0" w:color="auto"/>
              <w:end w:val="dashed" w:sz="6" w:space="0" w:color="auto"/>
            </w:tcBorders>
          </w:tcPr>
          <w:p>
            <w:pPr>
              <w:pStyle w:val="Normal"/>
              <w:jc w:val="center"/>
              <w:rPr>
                <w:rFonts w:ascii="Arial" w:hAnsi="Arial" w:eastAsia="Arial" w:cs="Arial"/>
                <w:b/>
                <w:bCs/>
                <w:color w:val="000000"/>
                <w:sz w:val="24"/>
                <w:szCs w:val="24"/>
              </w:rPr>
            </w:pPr>
            <w:r>
              <w:rPr>
                <w:rFonts w:eastAsia="Arial" w:cs="Arial" w:ascii="Arial" w:hAnsi="Arial"/>
                <w:b/>
                <w:bCs/>
                <w:color w:val="000000"/>
                <w:sz w:val="24"/>
                <w:szCs w:val="24"/>
              </w:rPr>
              <w:t>Crude Oil Margins, Atlantic Basin</w:t>
            </w:r>
          </w:p>
        </w:tc>
        <w:tc>
          <w:tcPr>
            <w:tcW w:w="0" w:type="dxa"/>
            <w:vMerge w:val="continue"/>
            <w:tcBorders>
              <w:top w:val="single" w:sz="6" w:space="0" w:color="000000"/>
              <w:start w:val="dashed" w:sz="6" w:space="0" w:color="auto"/>
              <w:end w:val="dashed" w:sz="6" w:space="0" w:color="auto"/>
            </w:tcBorders>
          </w:tcPr>
          <w:p>
            <w:pPr>
              <w:pStyle w:val="Normal"/>
              <w:snapToGrid w:val="false"/>
              <w:jc w:val="center"/>
              <w:rPr>
                <w:rFonts w:ascii="Arial" w:hAnsi="Arial" w:eastAsia="Arial" w:cs="Arial"/>
                <w:b/>
                <w:bCs/>
                <w:color w:val="000000"/>
                <w:sz w:val="24"/>
                <w:szCs w:val="24"/>
              </w:rPr>
            </w:pPr>
            <w:r>
              <w:rPr>
                <w:rFonts w:eastAsia="Arial" w:cs="Arial" w:ascii="Arial" w:hAnsi="Arial"/>
                <w:b/>
                <w:bCs/>
                <w:color w:val="000000"/>
                <w:sz w:val="24"/>
                <w:szCs w:val="24"/>
              </w:rPr>
            </w:r>
          </w:p>
        </w:tc>
        <w:tc>
          <w:tcPr>
            <w:tcW w:w="0" w:type="dxa"/>
            <w:vMerge w:val="continue"/>
            <w:tcBorders>
              <w:top w:val="single" w:sz="6" w:space="0" w:color="000000"/>
              <w:start w:val="dashed" w:sz="6" w:space="0" w:color="auto"/>
              <w:end w:val="dashed" w:sz="6" w:space="0" w:color="auto"/>
            </w:tcBorders>
          </w:tcPr>
          <w:p>
            <w:pPr>
              <w:pStyle w:val="Normal"/>
              <w:snapToGrid w:val="false"/>
              <w:jc w:val="center"/>
              <w:rPr>
                <w:rFonts w:ascii="Arial" w:hAnsi="Arial" w:eastAsia="Arial" w:cs="Arial"/>
                <w:b/>
                <w:bCs/>
                <w:color w:val="000000"/>
                <w:sz w:val="24"/>
                <w:szCs w:val="24"/>
              </w:rPr>
            </w:pPr>
            <w:r>
              <w:rPr>
                <w:rFonts w:eastAsia="Arial" w:cs="Arial" w:ascii="Arial" w:hAnsi="Arial"/>
                <w:b/>
                <w:bCs/>
                <w:color w:val="000000"/>
                <w:sz w:val="24"/>
                <w:szCs w:val="24"/>
              </w:rPr>
            </w:r>
          </w:p>
        </w:tc>
        <w:tc>
          <w:tcPr>
            <w:tcW w:w="0" w:type="dxa"/>
            <w:vMerge w:val="continue"/>
            <w:tcBorders>
              <w:top w:val="single" w:sz="6" w:space="0" w:color="000000"/>
              <w:start w:val="dashed" w:sz="6" w:space="0" w:color="auto"/>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0" w:type="dxa"/>
            <w:vMerge w:val="continue"/>
            <w:tcBorders>
              <w:top w:val="single" w:sz="6" w:space="0" w:color="000000"/>
              <w:start w:val="dashed" w:sz="6" w:space="0" w:color="auto"/>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r>
      <w:tr>
        <w:trPr>
          <w:trHeight w:val="294" w:hRule="atLeast"/>
        </w:trPr>
        <w:tc>
          <w:tcPr>
            <w:tcW w:w="1920" w:type="dxa"/>
            <w:tcBorders>
              <w:start w:val="single" w:sz="6" w:space="0" w:color="000000"/>
              <w:end w:val="dashed" w:sz="6" w:space="0" w:color="auto"/>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Atlantic</w:t>
            </w:r>
          </w:p>
        </w:tc>
        <w:tc>
          <w:tcPr>
            <w:tcW w:w="2790" w:type="dxa"/>
            <w:tcBorders>
              <w:top w:val="single" w:sz="6" w:space="0" w:color="000000"/>
              <w:start w:val="single" w:sz="6" w:space="0" w:color="000000"/>
              <w:bottom w:val="single" w:sz="6" w:space="0" w:color="000000"/>
            </w:tcBorders>
          </w:tcPr>
          <w:p>
            <w:pPr>
              <w:pStyle w:val="Normal"/>
              <w:jc w:val="center"/>
              <w:rPr>
                <w:rFonts w:ascii="Arial" w:hAnsi="Arial" w:eastAsia="Arial" w:cs="Arial"/>
                <w:i/>
                <w:i/>
                <w:iCs/>
                <w:color w:val="000000"/>
                <w:sz w:val="24"/>
                <w:szCs w:val="24"/>
              </w:rPr>
            </w:pPr>
            <w:r>
              <w:rPr>
                <w:rFonts w:eastAsia="Arial" w:cs="Arial" w:ascii="Arial" w:hAnsi="Arial"/>
                <w:i/>
                <w:iCs/>
                <w:color w:val="000000"/>
                <w:sz w:val="24"/>
                <w:szCs w:val="24"/>
              </w:rPr>
              <w:t>Rotterdam</w:t>
            </w:r>
          </w:p>
        </w:tc>
        <w:tc>
          <w:tcPr>
            <w:tcW w:w="84" w:type="dxa"/>
            <w:tcBorders>
              <w:top w:val="single" w:sz="6" w:space="0" w:color="000000"/>
              <w:bottom w:val="single" w:sz="6" w:space="0" w:color="000000"/>
              <w:end w:val="single" w:sz="6" w:space="0" w:color="000000"/>
            </w:tcBorders>
          </w:tcPr>
          <w:p>
            <w:pPr>
              <w:pStyle w:val="Normal"/>
              <w:snapToGrid w:val="false"/>
              <w:jc w:val="center"/>
              <w:rPr>
                <w:rFonts w:ascii="Arial" w:hAnsi="Arial" w:eastAsia="Arial" w:cs="Arial"/>
                <w:i/>
                <w:i/>
                <w:iCs/>
                <w:color w:val="000000"/>
                <w:sz w:val="24"/>
                <w:szCs w:val="24"/>
              </w:rPr>
            </w:pPr>
            <w:r>
              <w:rPr>
                <w:rFonts w:eastAsia="Arial" w:cs="Arial" w:ascii="Arial" w:hAnsi="Arial"/>
                <w:i/>
                <w:iCs/>
                <w:color w:val="000000"/>
                <w:sz w:val="24"/>
                <w:szCs w:val="24"/>
              </w:rPr>
            </w:r>
          </w:p>
        </w:tc>
        <w:tc>
          <w:tcPr>
            <w:tcW w:w="2886" w:type="dxa"/>
            <w:tcBorders>
              <w:top w:val="single" w:sz="6" w:space="0" w:color="000000"/>
              <w:start w:val="dashed" w:sz="6" w:space="0" w:color="auto"/>
              <w:bottom w:val="single" w:sz="6" w:space="0" w:color="000000"/>
            </w:tcBorders>
          </w:tcPr>
          <w:p>
            <w:pPr>
              <w:pStyle w:val="Normal"/>
              <w:jc w:val="center"/>
              <w:rPr>
                <w:rFonts w:ascii="Arial" w:hAnsi="Arial" w:eastAsia="Arial" w:cs="Arial"/>
                <w:i/>
                <w:i/>
                <w:iCs/>
                <w:color w:val="000000"/>
                <w:sz w:val="24"/>
                <w:szCs w:val="24"/>
              </w:rPr>
            </w:pPr>
            <w:r>
              <w:rPr>
                <w:rFonts w:eastAsia="Arial" w:cs="Arial" w:ascii="Arial" w:hAnsi="Arial"/>
                <w:i/>
                <w:iCs/>
                <w:color w:val="000000"/>
                <w:sz w:val="24"/>
                <w:szCs w:val="24"/>
              </w:rPr>
              <w:t>Med</w:t>
            </w:r>
          </w:p>
        </w:tc>
        <w:tc>
          <w:tcPr>
            <w:tcW w:w="106" w:type="dxa"/>
            <w:tcBorders>
              <w:top w:val="single" w:sz="6" w:space="0" w:color="000000"/>
              <w:bottom w:val="single" w:sz="6" w:space="0" w:color="000000"/>
              <w:end w:val="single" w:sz="6" w:space="0" w:color="000000"/>
            </w:tcBorders>
          </w:tcPr>
          <w:p>
            <w:pPr>
              <w:pStyle w:val="Normal"/>
              <w:snapToGrid w:val="false"/>
              <w:jc w:val="center"/>
              <w:rPr>
                <w:rFonts w:ascii="Arial" w:hAnsi="Arial" w:eastAsia="Arial" w:cs="Arial"/>
                <w:i/>
                <w:i/>
                <w:iCs/>
                <w:color w:val="000000"/>
                <w:sz w:val="24"/>
                <w:szCs w:val="24"/>
              </w:rPr>
            </w:pPr>
            <w:r>
              <w:rPr>
                <w:rFonts w:eastAsia="Arial" w:cs="Arial" w:ascii="Arial" w:hAnsi="Arial"/>
                <w:i/>
                <w:iCs/>
                <w:color w:val="000000"/>
                <w:sz w:val="24"/>
                <w:szCs w:val="24"/>
              </w:rPr>
            </w:r>
          </w:p>
        </w:tc>
        <w:tc>
          <w:tcPr>
            <w:tcW w:w="3133" w:type="dxa"/>
            <w:tcBorders>
              <w:top w:val="single" w:sz="6" w:space="0" w:color="000000"/>
              <w:start w:val="dashed" w:sz="6" w:space="0" w:color="auto"/>
              <w:end w:val="single" w:sz="6" w:space="0" w:color="000000"/>
            </w:tcBorders>
          </w:tcPr>
          <w:p>
            <w:pPr>
              <w:pStyle w:val="Normal"/>
              <w:jc w:val="center"/>
              <w:rPr>
                <w:rFonts w:ascii="Arial" w:hAnsi="Arial" w:eastAsia="Arial" w:cs="Arial"/>
                <w:i/>
                <w:i/>
                <w:iCs/>
                <w:color w:val="000000"/>
                <w:sz w:val="24"/>
                <w:szCs w:val="24"/>
              </w:rPr>
            </w:pPr>
            <w:r>
              <w:rPr>
                <w:rFonts w:eastAsia="Arial" w:cs="Arial" w:ascii="Arial" w:hAnsi="Arial"/>
                <w:i/>
                <w:iCs/>
                <w:color w:val="000000"/>
                <w:sz w:val="24"/>
                <w:szCs w:val="24"/>
              </w:rPr>
              <w:t>USEC</w:t>
            </w:r>
          </w:p>
        </w:tc>
      </w:tr>
      <w:tr>
        <w:trPr>
          <w:trHeight w:val="294" w:hRule="atLeast"/>
        </w:trPr>
        <w:tc>
          <w:tcPr>
            <w:tcW w:w="1920" w:type="dxa"/>
            <w:tcBorders>
              <w:start w:val="single" w:sz="6" w:space="0" w:color="000000"/>
              <w:end w:val="dashed" w:sz="6" w:space="0" w:color="auto"/>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Mode</w:t>
            </w:r>
          </w:p>
        </w:tc>
        <w:tc>
          <w:tcPr>
            <w:tcW w:w="2790" w:type="dxa"/>
            <w:tcBorders>
              <w:top w:val="single" w:sz="6" w:space="0" w:color="000000"/>
              <w:start w:val="single" w:sz="6" w:space="0" w:color="000000"/>
            </w:tcBorders>
          </w:tcPr>
          <w:p>
            <w:pPr>
              <w:pStyle w:val="Normal"/>
              <w:jc w:val="center"/>
              <w:rPr>
                <w:rFonts w:ascii="Arial" w:hAnsi="Arial" w:eastAsia="Arial" w:cs="Arial"/>
                <w:color w:val="000000"/>
                <w:sz w:val="24"/>
                <w:szCs w:val="24"/>
                <w:u w:val="single"/>
              </w:rPr>
            </w:pPr>
            <w:r>
              <w:rPr>
                <w:rFonts w:eastAsia="Arial" w:cs="Arial" w:ascii="Arial" w:hAnsi="Arial"/>
                <w:color w:val="000000"/>
                <w:sz w:val="24"/>
                <w:szCs w:val="24"/>
                <w:u w:val="single"/>
              </w:rPr>
              <w:t>HSK/VSB</w:t>
            </w:r>
          </w:p>
        </w:tc>
        <w:tc>
          <w:tcPr>
            <w:tcW w:w="84" w:type="dxa"/>
            <w:tcBorders>
              <w:end w:val="single" w:sz="6" w:space="0" w:color="000000"/>
            </w:tcBorders>
          </w:tcPr>
          <w:p>
            <w:pPr>
              <w:pStyle w:val="Normal"/>
              <w:snapToGrid w:val="false"/>
              <w:jc w:val="center"/>
              <w:rPr>
                <w:rFonts w:ascii="Arial" w:hAnsi="Arial" w:eastAsia="Arial" w:cs="Arial"/>
                <w:color w:val="000000"/>
                <w:sz w:val="24"/>
                <w:szCs w:val="24"/>
                <w:u w:val="single"/>
              </w:rPr>
            </w:pPr>
            <w:r>
              <w:rPr>
                <w:rFonts w:eastAsia="Arial" w:cs="Arial" w:ascii="Arial" w:hAnsi="Arial"/>
                <w:color w:val="000000"/>
                <w:sz w:val="24"/>
                <w:szCs w:val="24"/>
                <w:u w:val="single"/>
              </w:rPr>
            </w:r>
          </w:p>
        </w:tc>
        <w:tc>
          <w:tcPr>
            <w:tcW w:w="2886" w:type="dxa"/>
            <w:tcBorders>
              <w:start w:val="dashed" w:sz="6" w:space="0" w:color="auto"/>
            </w:tcBorders>
          </w:tcPr>
          <w:p>
            <w:pPr>
              <w:pStyle w:val="Normal"/>
              <w:jc w:val="center"/>
              <w:rPr>
                <w:rFonts w:ascii="Arial" w:hAnsi="Arial" w:eastAsia="Arial" w:cs="Arial"/>
                <w:color w:val="000000"/>
                <w:sz w:val="24"/>
                <w:szCs w:val="24"/>
                <w:u w:val="single"/>
              </w:rPr>
            </w:pPr>
            <w:r>
              <w:rPr>
                <w:rFonts w:eastAsia="Arial" w:cs="Arial" w:ascii="Arial" w:hAnsi="Arial"/>
                <w:color w:val="000000"/>
                <w:sz w:val="24"/>
                <w:szCs w:val="24"/>
                <w:u w:val="single"/>
              </w:rPr>
              <w:t>HSK/VSB</w:t>
            </w:r>
          </w:p>
        </w:tc>
        <w:tc>
          <w:tcPr>
            <w:tcW w:w="106" w:type="dxa"/>
            <w:tcBorders>
              <w:end w:val="single" w:sz="6" w:space="0" w:color="000000"/>
            </w:tcBorders>
          </w:tcPr>
          <w:p>
            <w:pPr>
              <w:pStyle w:val="Normal"/>
              <w:snapToGrid w:val="false"/>
              <w:jc w:val="center"/>
              <w:rPr>
                <w:rFonts w:ascii="Arial" w:hAnsi="Arial" w:eastAsia="Arial" w:cs="Arial"/>
                <w:color w:val="000000"/>
                <w:sz w:val="24"/>
                <w:szCs w:val="24"/>
                <w:u w:val="single"/>
              </w:rPr>
            </w:pPr>
            <w:r>
              <w:rPr>
                <w:rFonts w:eastAsia="Arial" w:cs="Arial" w:ascii="Arial" w:hAnsi="Arial"/>
                <w:color w:val="000000"/>
                <w:sz w:val="24"/>
                <w:szCs w:val="24"/>
                <w:u w:val="single"/>
              </w:rPr>
            </w:r>
          </w:p>
        </w:tc>
        <w:tc>
          <w:tcPr>
            <w:tcW w:w="3133" w:type="dxa"/>
            <w:tcBorders>
              <w:top w:val="single" w:sz="6" w:space="0" w:color="000000"/>
              <w:start w:val="dashed" w:sz="6" w:space="0" w:color="auto"/>
              <w:bottom w:val="single" w:sz="6" w:space="0" w:color="000000"/>
              <w:end w:val="single" w:sz="6" w:space="0" w:color="000000"/>
            </w:tcBorders>
          </w:tcPr>
          <w:p>
            <w:pPr>
              <w:pStyle w:val="Normal"/>
              <w:jc w:val="center"/>
              <w:rPr>
                <w:rFonts w:ascii="Arial" w:hAnsi="Arial" w:eastAsia="Arial" w:cs="Arial"/>
                <w:color w:val="000000"/>
                <w:sz w:val="24"/>
                <w:szCs w:val="24"/>
                <w:u w:val="single"/>
              </w:rPr>
            </w:pPr>
            <w:r>
              <w:rPr>
                <w:rFonts w:eastAsia="Arial" w:cs="Arial" w:ascii="Arial" w:hAnsi="Arial"/>
                <w:color w:val="000000"/>
                <w:sz w:val="24"/>
                <w:szCs w:val="24"/>
                <w:u w:val="single"/>
              </w:rPr>
              <w:t>FCC</w:t>
            </w:r>
          </w:p>
        </w:tc>
      </w:tr>
      <w:tr>
        <w:trPr>
          <w:trHeight w:val="294" w:hRule="atLeast"/>
        </w:trPr>
        <w:tc>
          <w:tcPr>
            <w:tcW w:w="1920" w:type="dxa"/>
            <w:tcBorders>
              <w:top w:val="single" w:sz="6" w:space="0" w:color="000000"/>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Brent</w:t>
            </w:r>
          </w:p>
        </w:tc>
        <w:tc>
          <w:tcPr>
            <w:tcW w:w="2790" w:type="dxa"/>
            <w:tcBorders>
              <w:top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($1.13)</w:t>
            </w:r>
          </w:p>
        </w:tc>
        <w:tc>
          <w:tcPr>
            <w:tcW w:w="84" w:type="dxa"/>
            <w:tcBorders>
              <w:top w:val="single" w:sz="6" w:space="0" w:color="000000"/>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op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($1.90)</w:t>
            </w:r>
          </w:p>
        </w:tc>
        <w:tc>
          <w:tcPr>
            <w:tcW w:w="106" w:type="dxa"/>
            <w:tcBorders>
              <w:top w:val="single" w:sz="6" w:space="0" w:color="000000"/>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$3.44</w:t>
            </w:r>
          </w:p>
        </w:tc>
      </w:tr>
      <w:tr>
        <w:trPr>
          <w:trHeight w:val="294" w:hRule="atLeast"/>
        </w:trPr>
        <w:tc>
          <w:tcPr>
            <w:tcW w:w="1920" w:type="dxa"/>
            <w:tcBorders>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Ekofisk</w:t>
            </w:r>
          </w:p>
        </w:tc>
        <w:tc>
          <w:tcPr>
            <w:tcW w:w="2790"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($0.64)</w:t>
            </w:r>
          </w:p>
        </w:tc>
        <w:tc>
          <w:tcPr>
            <w:tcW w:w="84"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($1.60)</w:t>
            </w:r>
          </w:p>
        </w:tc>
        <w:tc>
          <w:tcPr>
            <w:tcW w:w="106"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$4.27</w:t>
            </w:r>
          </w:p>
        </w:tc>
      </w:tr>
      <w:tr>
        <w:trPr>
          <w:trHeight w:val="294" w:hRule="atLeast"/>
        </w:trPr>
        <w:tc>
          <w:tcPr>
            <w:tcW w:w="1920" w:type="dxa"/>
            <w:tcBorders>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Brega</w:t>
            </w:r>
          </w:p>
        </w:tc>
        <w:tc>
          <w:tcPr>
            <w:tcW w:w="2790"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($1.52)</w:t>
            </w:r>
          </w:p>
        </w:tc>
        <w:tc>
          <w:tcPr>
            <w:tcW w:w="84"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($1.23)</w:t>
            </w:r>
          </w:p>
        </w:tc>
        <w:tc>
          <w:tcPr>
            <w:tcW w:w="106"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w:t>
            </w:r>
          </w:p>
        </w:tc>
      </w:tr>
      <w:tr>
        <w:trPr>
          <w:trHeight w:val="294" w:hRule="atLeast"/>
        </w:trPr>
        <w:tc>
          <w:tcPr>
            <w:tcW w:w="1920" w:type="dxa"/>
            <w:tcBorders>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Saharan Bld</w:t>
            </w:r>
          </w:p>
        </w:tc>
        <w:tc>
          <w:tcPr>
            <w:tcW w:w="2790"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($0.97)</w:t>
            </w:r>
          </w:p>
        </w:tc>
        <w:tc>
          <w:tcPr>
            <w:tcW w:w="84"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($0.91)</w:t>
            </w:r>
          </w:p>
        </w:tc>
        <w:tc>
          <w:tcPr>
            <w:tcW w:w="106"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$4.57</w:t>
            </w:r>
          </w:p>
        </w:tc>
      </w:tr>
      <w:tr>
        <w:trPr>
          <w:trHeight w:val="294" w:hRule="atLeast"/>
        </w:trPr>
        <w:tc>
          <w:tcPr>
            <w:tcW w:w="1920" w:type="dxa"/>
            <w:tcBorders>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Bonny Lt</w:t>
            </w:r>
          </w:p>
        </w:tc>
        <w:tc>
          <w:tcPr>
            <w:tcW w:w="2790"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($1.70)</w:t>
            </w:r>
          </w:p>
        </w:tc>
        <w:tc>
          <w:tcPr>
            <w:tcW w:w="84"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($1.24)</w:t>
            </w:r>
          </w:p>
        </w:tc>
        <w:tc>
          <w:tcPr>
            <w:tcW w:w="106"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$3.91</w:t>
            </w:r>
          </w:p>
        </w:tc>
      </w:tr>
      <w:tr>
        <w:trPr>
          <w:trHeight w:val="294" w:hRule="atLeast"/>
        </w:trPr>
        <w:tc>
          <w:tcPr>
            <w:tcW w:w="1920" w:type="dxa"/>
            <w:tcBorders>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Cabinda</w:t>
            </w:r>
          </w:p>
        </w:tc>
        <w:tc>
          <w:tcPr>
            <w:tcW w:w="2790"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($2.09)</w:t>
            </w:r>
          </w:p>
        </w:tc>
        <w:tc>
          <w:tcPr>
            <w:tcW w:w="84"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($1.86)</w:t>
            </w:r>
          </w:p>
        </w:tc>
        <w:tc>
          <w:tcPr>
            <w:tcW w:w="106"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$2.77</w:t>
            </w:r>
          </w:p>
        </w:tc>
      </w:tr>
      <w:tr>
        <w:trPr>
          <w:trHeight w:val="294" w:hRule="atLeast"/>
        </w:trPr>
        <w:tc>
          <w:tcPr>
            <w:tcW w:w="1920" w:type="dxa"/>
            <w:tcBorders>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Marib Lt</w:t>
            </w:r>
          </w:p>
        </w:tc>
        <w:tc>
          <w:tcPr>
            <w:tcW w:w="2790"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$0.17</w:t>
            </w:r>
          </w:p>
        </w:tc>
        <w:tc>
          <w:tcPr>
            <w:tcW w:w="84"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($1.47)</w:t>
            </w:r>
          </w:p>
        </w:tc>
        <w:tc>
          <w:tcPr>
            <w:tcW w:w="106"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$4.04</w:t>
            </w:r>
          </w:p>
        </w:tc>
      </w:tr>
      <w:tr>
        <w:trPr>
          <w:trHeight w:val="294" w:hRule="atLeast"/>
        </w:trPr>
        <w:tc>
          <w:tcPr>
            <w:tcW w:w="1920" w:type="dxa"/>
            <w:tcBorders>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Murban</w:t>
            </w:r>
          </w:p>
        </w:tc>
        <w:tc>
          <w:tcPr>
            <w:tcW w:w="2790"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($5.29)</w:t>
            </w:r>
          </w:p>
        </w:tc>
        <w:tc>
          <w:tcPr>
            <w:tcW w:w="84"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($6.67)</w:t>
            </w:r>
          </w:p>
        </w:tc>
        <w:tc>
          <w:tcPr>
            <w:tcW w:w="106"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($0.38)</w:t>
            </w:r>
          </w:p>
        </w:tc>
      </w:tr>
      <w:tr>
        <w:trPr>
          <w:trHeight w:val="294" w:hRule="atLeast"/>
        </w:trPr>
        <w:tc>
          <w:tcPr>
            <w:tcW w:w="1920" w:type="dxa"/>
            <w:tcBorders>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Iran Lt</w:t>
            </w:r>
          </w:p>
        </w:tc>
        <w:tc>
          <w:tcPr>
            <w:tcW w:w="2790"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($1.88)</w:t>
            </w:r>
          </w:p>
        </w:tc>
        <w:tc>
          <w:tcPr>
            <w:tcW w:w="84"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($3.49)</w:t>
            </w:r>
          </w:p>
        </w:tc>
        <w:tc>
          <w:tcPr>
            <w:tcW w:w="106"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$1.30</w:t>
            </w:r>
          </w:p>
        </w:tc>
      </w:tr>
      <w:tr>
        <w:trPr>
          <w:trHeight w:val="294" w:hRule="atLeast"/>
        </w:trPr>
        <w:tc>
          <w:tcPr>
            <w:tcW w:w="1920" w:type="dxa"/>
            <w:tcBorders>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Oman</w:t>
            </w:r>
          </w:p>
        </w:tc>
        <w:tc>
          <w:tcPr>
            <w:tcW w:w="2790"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($0.90)</w:t>
            </w:r>
          </w:p>
        </w:tc>
        <w:tc>
          <w:tcPr>
            <w:tcW w:w="84"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($2.79)</w:t>
            </w:r>
          </w:p>
        </w:tc>
        <w:tc>
          <w:tcPr>
            <w:tcW w:w="106"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$3.03</w:t>
            </w:r>
          </w:p>
        </w:tc>
      </w:tr>
      <w:tr>
        <w:trPr>
          <w:trHeight w:val="294" w:hRule="atLeast"/>
        </w:trPr>
        <w:tc>
          <w:tcPr>
            <w:tcW w:w="1920" w:type="dxa"/>
            <w:tcBorders>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Dubai</w:t>
            </w:r>
          </w:p>
        </w:tc>
        <w:tc>
          <w:tcPr>
            <w:tcW w:w="2790"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($3.79)</w:t>
            </w:r>
          </w:p>
        </w:tc>
        <w:tc>
          <w:tcPr>
            <w:tcW w:w="84"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($5.48)</w:t>
            </w:r>
          </w:p>
        </w:tc>
        <w:tc>
          <w:tcPr>
            <w:tcW w:w="106"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($1.36)</w:t>
            </w:r>
          </w:p>
        </w:tc>
      </w:tr>
      <w:tr>
        <w:trPr>
          <w:trHeight w:val="294" w:hRule="atLeast"/>
        </w:trPr>
        <w:tc>
          <w:tcPr>
            <w:tcW w:w="1920" w:type="dxa"/>
            <w:tcBorders>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Urals</w:t>
            </w:r>
          </w:p>
        </w:tc>
        <w:tc>
          <w:tcPr>
            <w:tcW w:w="2790"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($2.15)</w:t>
            </w:r>
          </w:p>
        </w:tc>
        <w:tc>
          <w:tcPr>
            <w:tcW w:w="84"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($2.88)</w:t>
            </w:r>
          </w:p>
        </w:tc>
        <w:tc>
          <w:tcPr>
            <w:tcW w:w="106"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$0.87</w:t>
            </w:r>
          </w:p>
        </w:tc>
      </w:tr>
      <w:tr>
        <w:trPr>
          <w:trHeight w:val="294" w:hRule="atLeast"/>
        </w:trPr>
        <w:tc>
          <w:tcPr>
            <w:tcW w:w="1920" w:type="dxa"/>
            <w:tcBorders>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Kuwait</w:t>
            </w:r>
          </w:p>
        </w:tc>
        <w:tc>
          <w:tcPr>
            <w:tcW w:w="2790"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($3.28)</w:t>
            </w:r>
          </w:p>
        </w:tc>
        <w:tc>
          <w:tcPr>
            <w:tcW w:w="84"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($4.90)</w:t>
            </w:r>
          </w:p>
        </w:tc>
        <w:tc>
          <w:tcPr>
            <w:tcW w:w="106"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($2.83)</w:t>
            </w:r>
          </w:p>
        </w:tc>
      </w:tr>
      <w:tr>
        <w:trPr>
          <w:trHeight w:val="294" w:hRule="atLeast"/>
        </w:trPr>
        <w:tc>
          <w:tcPr>
            <w:tcW w:w="1920" w:type="dxa"/>
            <w:tcBorders>
              <w:start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Suez Bld</w:t>
            </w:r>
          </w:p>
        </w:tc>
        <w:tc>
          <w:tcPr>
            <w:tcW w:w="2790"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$0.09</w:t>
            </w:r>
          </w:p>
        </w:tc>
        <w:tc>
          <w:tcPr>
            <w:tcW w:w="84"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($2.57)</w:t>
            </w:r>
          </w:p>
        </w:tc>
        <w:tc>
          <w:tcPr>
            <w:tcW w:w="106" w:type="dxa"/>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$0.34</w:t>
            </w:r>
          </w:p>
        </w:tc>
      </w:tr>
      <w:tr>
        <w:trPr>
          <w:trHeight w:val="294" w:hRule="atLeast"/>
        </w:trPr>
        <w:tc>
          <w:tcPr>
            <w:tcW w:w="1920" w:type="dxa"/>
            <w:tcBorders>
              <w:start w:val="single" w:sz="6" w:space="0" w:color="000000"/>
              <w:bottom w:val="single" w:sz="6" w:space="0" w:color="000000"/>
            </w:tcBorders>
          </w:tcPr>
          <w:p>
            <w:pPr>
              <w:pStyle w:val="Normal"/>
              <w:jc w:val="end"/>
              <w:rPr>
                <w:rFonts w:ascii="Arial" w:hAnsi="Arial" w:eastAsia="Arial" w:cs="Arial"/>
                <w:color w:val="000000"/>
                <w:sz w:val="24"/>
                <w:szCs w:val="24"/>
              </w:rPr>
            </w:pPr>
            <w:r>
              <w:rPr>
                <w:rFonts w:eastAsia="Arial" w:cs="Arial" w:ascii="Arial" w:hAnsi="Arial"/>
                <w:color w:val="000000"/>
                <w:sz w:val="24"/>
                <w:szCs w:val="24"/>
              </w:rPr>
              <w:t>Arab Hvy</w:t>
            </w:r>
          </w:p>
        </w:tc>
        <w:tc>
          <w:tcPr>
            <w:tcW w:w="2790" w:type="dxa"/>
            <w:tcBorders>
              <w:bottom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($3.80)</w:t>
            </w:r>
          </w:p>
        </w:tc>
        <w:tc>
          <w:tcPr>
            <w:tcW w:w="84" w:type="dxa"/>
            <w:tcBorders>
              <w:bottom w:val="single" w:sz="6" w:space="0" w:color="000000"/>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2886" w:type="dxa"/>
            <w:tcBorders>
              <w:bottom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($5.92)</w:t>
            </w:r>
          </w:p>
        </w:tc>
        <w:tc>
          <w:tcPr>
            <w:tcW w:w="106" w:type="dxa"/>
            <w:tcBorders>
              <w:bottom w:val="single" w:sz="6" w:space="0" w:color="000000"/>
            </w:tcBorders>
          </w:tcPr>
          <w:p>
            <w:pPr>
              <w:pStyle w:val="Normal"/>
              <w:snapToGrid w:val="false"/>
              <w:jc w:val="center"/>
              <w:rPr>
                <w:rFonts w:ascii="Arial" w:hAnsi="Arial" w:eastAsia="Arial" w:cs="Arial"/>
                <w:color w:val="000000"/>
                <w:sz w:val="24"/>
                <w:szCs w:val="24"/>
              </w:rPr>
            </w:pPr>
            <w:r>
              <w:rPr>
                <w:rFonts w:eastAsia="Arial" w:cs="Arial" w:ascii="Arial" w:hAnsi="Arial"/>
                <w:color w:val="000000"/>
                <w:sz w:val="24"/>
                <w:szCs w:val="24"/>
              </w:rPr>
            </w:r>
          </w:p>
        </w:tc>
        <w:tc>
          <w:tcPr>
            <w:tcW w:w="3133" w:type="dxa"/>
            <w:tcBorders>
              <w:bottom w:val="single" w:sz="6" w:space="0" w:color="000000"/>
              <w:end w:val="single" w:sz="6" w:space="0" w:color="000000"/>
            </w:tcBorders>
          </w:tcPr>
          <w:p>
            <w:pPr>
              <w:pStyle w:val="Normal"/>
              <w:jc w:val="center"/>
              <w:rPr>
                <w:rFonts w:ascii="Arial" w:hAnsi="Arial" w:eastAsia="Arial" w:cs="Arial"/>
                <w:color w:val="000000"/>
                <w:sz w:val="24"/>
                <w:szCs w:val="24"/>
              </w:rPr>
            </w:pPr>
            <w:r>
              <w:rPr>
                <w:rFonts w:eastAsia="Arial" w:cs="Arial" w:ascii="Arial" w:hAnsi="Arial"/>
                <w:color w:val="000000"/>
                <w:sz w:val="24"/>
                <w:szCs w:val="24"/>
              </w:rPr>
              <w:t>($5.47)</w:t>
            </w:r>
          </w:p>
        </w:tc>
      </w:tr>
    </w:tbl>
    <w:p>
      <w:pPr>
        <w:pStyle w:val="Normal"/>
        <w:pBdr>
          <w:top w:val="single" w:sz="18" w:space="1" w:color="0000FF"/>
          <w:left w:val="single" w:sz="18" w:space="1" w:color="0000FF"/>
          <w:bottom w:val="single" w:sz="18" w:space="1" w:color="0000FF"/>
          <w:right w:val="single" w:sz="18" w:space="1" w:color="0000FF"/>
        </w:pBdr>
        <w:jc w:val="center"/>
        <w:rPr>
          <w:b/>
          <w:bCs/>
          <w:color w:val="0000FF"/>
          <w:sz w:val="24"/>
          <w:szCs w:val="24"/>
        </w:rPr>
      </w:pPr>
      <w:r>
        <w:br w:type="page"/>
      </w:r>
      <w:r>
        <w:rPr>
          <w:b/>
          <w:bCs/>
          <w:color w:val="0000FF"/>
          <w:sz w:val="24"/>
          <w:szCs w:val="24"/>
        </w:rPr>
        <w:t>Atlantic Basin Margins Over Past 12 Months</w:t>
      </w:r>
    </w:p>
    <w:p>
      <w:pPr>
        <w:pStyle w:val="Normal"/>
        <w:jc w:val="center"/>
        <w:rPr>
          <w:b/>
          <w:bCs/>
          <w:color w:val="0000FF"/>
          <w:sz w:val="16"/>
          <w:szCs w:val="16"/>
        </w:rPr>
      </w:pPr>
      <w:r>
        <w:rPr>
          <w:b/>
          <w:bCs/>
          <w:color w:val="0000FF"/>
          <w:sz w:val="16"/>
          <w:szCs w:val="16"/>
        </w:rPr>
      </w:r>
    </w:p>
    <w:p>
      <w:pPr>
        <w:sectPr>
          <w:type w:val="continuous"/>
          <w:pgSz w:w="12240" w:h="15840"/>
          <w:pgMar w:left="720" w:right="720" w:gutter="0" w:header="0" w:top="720" w:footer="965" w:bottom="1021"/>
          <w:formProt w:val="false"/>
          <w:textDirection w:val="lrTb"/>
        </w:sectPr>
      </w:pPr>
    </w:p>
    <w:p>
      <w:pPr>
        <w:pStyle w:val="Normal"/>
        <w:rPr>
          <w:b/>
          <w:bCs/>
          <w:color w:val="0000FF"/>
          <w:sz w:val="16"/>
          <w:szCs w:val="16"/>
        </w:rPr>
      </w:pPr>
      <w:r>
        <w:rPr>
          <w:b/>
          <w:bCs/>
          <w:color w:val="0000FF"/>
          <w:sz w:val="16"/>
          <w:szCs w:val="16"/>
        </w:rPr>
        <w:drawing>
          <wp:inline distT="0" distB="0" distL="0" distR="0">
            <wp:extent cx="3382645" cy="2343150"/>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6"/>
                    <a:stretch>
                      <a:fillRect/>
                    </a:stretch>
                  </pic:blipFill>
                  <pic:spPr bwMode="auto">
                    <a:xfrm>
                      <a:off x="0" y="0"/>
                      <a:ext cx="3382645" cy="2343150"/>
                    </a:xfrm>
                    <a:prstGeom prst="rect">
                      <a:avLst/>
                    </a:prstGeom>
                    <a:noFill/>
                  </pic:spPr>
                </pic:pic>
              </a:graphicData>
            </a:graphic>
          </wp:inline>
        </w:drawing>
      </w:r>
    </w:p>
    <w:p>
      <w:pPr>
        <w:pStyle w:val="Normal"/>
        <w:rPr>
          <w:b/>
          <w:bCs/>
          <w:color w:val="0000FF"/>
          <w:sz w:val="16"/>
          <w:szCs w:val="16"/>
        </w:rPr>
      </w:pPr>
      <w:r>
        <w:rPr>
          <w:b/>
          <w:bCs/>
          <w:color w:val="0000FF"/>
          <w:sz w:val="16"/>
          <w:szCs w:val="16"/>
        </w:rPr>
      </w:r>
    </w:p>
    <w:p>
      <w:pPr>
        <w:pStyle w:val="Normal"/>
        <w:rPr>
          <w:b/>
          <w:bCs/>
          <w:color w:val="0000FF"/>
          <w:sz w:val="16"/>
          <w:szCs w:val="16"/>
        </w:rPr>
      </w:pPr>
      <w:r>
        <w:rPr>
          <w:b/>
          <w:bCs/>
          <w:color w:val="0000FF"/>
          <w:sz w:val="16"/>
          <w:szCs w:val="16"/>
        </w:rPr>
        <w:drawing>
          <wp:inline distT="0" distB="0" distL="0" distR="0">
            <wp:extent cx="3390900" cy="2558415"/>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7"/>
                    <a:stretch>
                      <a:fillRect/>
                    </a:stretch>
                  </pic:blipFill>
                  <pic:spPr bwMode="auto">
                    <a:xfrm>
                      <a:off x="0" y="0"/>
                      <a:ext cx="3390900" cy="2558415"/>
                    </a:xfrm>
                    <a:prstGeom prst="rect">
                      <a:avLst/>
                    </a:prstGeom>
                    <a:noFill/>
                  </pic:spPr>
                </pic:pic>
              </a:graphicData>
            </a:graphic>
          </wp:inline>
        </w:drawing>
      </w:r>
    </w:p>
    <w:p>
      <w:pPr>
        <w:pStyle w:val="Normal"/>
        <w:rPr>
          <w:b/>
          <w:bCs/>
          <w:color w:val="0000FF"/>
          <w:sz w:val="16"/>
          <w:szCs w:val="16"/>
        </w:rPr>
      </w:pPr>
      <w:r>
        <w:rPr>
          <w:b/>
          <w:bCs/>
          <w:color w:val="0000FF"/>
          <w:sz w:val="16"/>
          <w:szCs w:val="16"/>
        </w:rPr>
        <w:drawing>
          <wp:inline distT="0" distB="0" distL="0" distR="0">
            <wp:extent cx="3413125" cy="2652395"/>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8"/>
                    <a:stretch>
                      <a:fillRect/>
                    </a:stretch>
                  </pic:blipFill>
                  <pic:spPr bwMode="auto">
                    <a:xfrm>
                      <a:off x="0" y="0"/>
                      <a:ext cx="3413125" cy="2652395"/>
                    </a:xfrm>
                    <a:prstGeom prst="rect">
                      <a:avLst/>
                    </a:prstGeom>
                    <a:noFill/>
                  </pic:spPr>
                </pic:pic>
              </a:graphicData>
            </a:graphic>
          </wp:inline>
        </w:drawing>
      </w:r>
    </w:p>
    <w:p>
      <w:pPr>
        <w:pStyle w:val="Normal"/>
        <w:rPr>
          <w:b/>
          <w:bCs/>
          <w:color w:val="0000FF"/>
          <w:sz w:val="16"/>
          <w:szCs w:val="16"/>
        </w:rPr>
      </w:pPr>
      <w:r>
        <w:rPr>
          <w:b/>
          <w:bCs/>
          <w:color w:val="0000FF"/>
          <w:sz w:val="16"/>
          <w:szCs w:val="16"/>
        </w:rPr>
        <w:drawing>
          <wp:inline distT="0" distB="0" distL="0" distR="0">
            <wp:extent cx="3432175" cy="2343150"/>
            <wp:effectExtent l="0" t="0" r="0" b="0"/>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9"/>
                    <a:stretch>
                      <a:fillRect/>
                    </a:stretch>
                  </pic:blipFill>
                  <pic:spPr bwMode="auto">
                    <a:xfrm>
                      <a:off x="0" y="0"/>
                      <a:ext cx="3432175" cy="2343150"/>
                    </a:xfrm>
                    <a:prstGeom prst="rect">
                      <a:avLst/>
                    </a:prstGeom>
                    <a:noFill/>
                  </pic:spPr>
                </pic:pic>
              </a:graphicData>
            </a:graphic>
          </wp:inline>
        </w:drawing>
      </w:r>
    </w:p>
    <w:p>
      <w:pPr>
        <w:pStyle w:val="Normal"/>
        <w:rPr>
          <w:b/>
          <w:bCs/>
          <w:color w:val="0000FF"/>
          <w:sz w:val="16"/>
          <w:szCs w:val="16"/>
        </w:rPr>
      </w:pPr>
      <w:r>
        <w:rPr>
          <w:b/>
          <w:bCs/>
          <w:color w:val="0000FF"/>
          <w:sz w:val="16"/>
          <w:szCs w:val="16"/>
        </w:rPr>
        <w:drawing>
          <wp:inline distT="0" distB="0" distL="0" distR="0">
            <wp:extent cx="3454400" cy="2579370"/>
            <wp:effectExtent l="0" t="0" r="0" b="0"/>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10"/>
                    <a:stretch>
                      <a:fillRect/>
                    </a:stretch>
                  </pic:blipFill>
                  <pic:spPr bwMode="auto">
                    <a:xfrm>
                      <a:off x="0" y="0"/>
                      <a:ext cx="3454400" cy="2579370"/>
                    </a:xfrm>
                    <a:prstGeom prst="rect">
                      <a:avLst/>
                    </a:prstGeom>
                    <a:noFill/>
                  </pic:spPr>
                </pic:pic>
              </a:graphicData>
            </a:graphic>
          </wp:inline>
        </w:drawing>
      </w:r>
    </w:p>
    <w:p>
      <w:pPr>
        <w:pStyle w:val="Normal"/>
        <w:rPr>
          <w:b/>
          <w:bCs/>
          <w:color w:val="0000FF"/>
          <w:sz w:val="16"/>
          <w:szCs w:val="16"/>
        </w:rPr>
      </w:pPr>
      <w:r>
        <w:rPr>
          <w:b/>
          <w:bCs/>
          <w:color w:val="0000FF"/>
          <w:sz w:val="16"/>
          <w:szCs w:val="16"/>
        </w:rPr>
        <w:drawing>
          <wp:inline distT="0" distB="0" distL="0" distR="0">
            <wp:extent cx="3473450" cy="2630805"/>
            <wp:effectExtent l="0" t="0" r="0" b="0"/>
            <wp:docPr id="8"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title=""/>
                    <pic:cNvPicPr>
                      <a:picLocks noChangeAspect="1" noChangeArrowheads="1"/>
                    </pic:cNvPicPr>
                  </pic:nvPicPr>
                  <pic:blipFill>
                    <a:blip r:embed="rId11"/>
                    <a:stretch>
                      <a:fillRect/>
                    </a:stretch>
                  </pic:blipFill>
                  <pic:spPr bwMode="auto">
                    <a:xfrm>
                      <a:off x="0" y="0"/>
                      <a:ext cx="3473450" cy="2630805"/>
                    </a:xfrm>
                    <a:prstGeom prst="rect">
                      <a:avLst/>
                    </a:prstGeom>
                    <a:noFill/>
                  </pic:spPr>
                </pic:pic>
              </a:graphicData>
            </a:graphic>
          </wp:inline>
        </w:drawing>
      </w:r>
    </w:p>
    <w:p>
      <w:pPr>
        <w:sectPr>
          <w:type w:val="continuous"/>
          <w:pgSz w:w="12240" w:h="15840"/>
          <w:pgMar w:left="720" w:right="720" w:gutter="0" w:header="0" w:top="720" w:footer="965" w:bottom="1021"/>
          <w:cols w:num="2" w:space="144" w:equalWidth="true" w:sep="false"/>
          <w:formProt w:val="false"/>
          <w:textDirection w:val="lrTb"/>
        </w:sectPr>
      </w:pPr>
    </w:p>
    <w:p>
      <w:pPr>
        <w:pStyle w:val="Normal"/>
        <w:numPr>
          <w:ilvl w:val="0"/>
          <w:numId w:val="0"/>
        </w:numPr>
        <w:pBdr>
          <w:top w:val="single" w:sz="18" w:space="1" w:color="0000FF"/>
          <w:left w:val="single" w:sz="18" w:space="1" w:color="0000FF"/>
          <w:bottom w:val="single" w:sz="18" w:space="1" w:color="0000FF"/>
          <w:right w:val="single" w:sz="18" w:space="1" w:color="0000FF"/>
        </w:pBdr>
        <w:jc w:val="center"/>
        <w:rPr>
          <w:b/>
          <w:bCs/>
          <w:color w:val="0000FF"/>
          <w:sz w:val="16"/>
          <w:szCs w:val="16"/>
        </w:rPr>
      </w:pPr>
      <w:r>
        <w:rPr>
          <w:b/>
          <w:bCs/>
          <w:color w:val="0000FF"/>
          <w:sz w:val="16"/>
          <w:szCs w:val="16"/>
        </w:rPr>
      </w:r>
      <w:r>
        <w:br w:type="page"/>
      </w:r>
    </w:p>
    <w:p>
      <w:pPr>
        <w:pStyle w:val="Normal"/>
        <w:pBdr>
          <w:top w:val="single" w:sz="18" w:space="1" w:color="0000FF"/>
          <w:left w:val="single" w:sz="18" w:space="1" w:color="0000FF"/>
          <w:bottom w:val="single" w:sz="18" w:space="1" w:color="0000FF"/>
          <w:right w:val="single" w:sz="18" w:space="1" w:color="0000FF"/>
        </w:pBdr>
        <w:jc w:val="center"/>
        <w:rPr>
          <w:b/>
          <w:bCs/>
          <w:color w:val="0000FF"/>
          <w:sz w:val="24"/>
          <w:szCs w:val="24"/>
        </w:rPr>
      </w:pPr>
      <w:r>
        <w:rPr>
          <w:b/>
          <w:bCs/>
          <w:color w:val="0000FF"/>
          <w:sz w:val="24"/>
          <w:szCs w:val="24"/>
        </w:rPr>
        <w:t>Worldwide Comparisons of Margins on Crude</w:t>
      </w:r>
    </w:p>
    <w:p>
      <w:pPr>
        <w:sectPr>
          <w:type w:val="continuous"/>
          <w:pgSz w:w="12240" w:h="15840"/>
          <w:pgMar w:left="720" w:right="720" w:gutter="0" w:header="0" w:top="720" w:footer="965" w:bottom="1021"/>
          <w:formProt w:val="false"/>
          <w:textDirection w:val="lrTb"/>
        </w:sectPr>
      </w:pPr>
    </w:p>
    <w:p>
      <w:pPr>
        <w:pStyle w:val="Normal"/>
        <w:jc w:val="center"/>
        <w:rPr>
          <w:b/>
          <w:bCs/>
          <w:color w:val="0000FF"/>
          <w:sz w:val="24"/>
          <w:szCs w:val="24"/>
        </w:rPr>
      </w:pPr>
      <w:r>
        <w:rPr>
          <w:b/>
          <w:bCs/>
          <w:color w:val="0000FF"/>
          <w:sz w:val="24"/>
          <w:szCs w:val="24"/>
        </w:rPr>
      </w:r>
    </w:p>
    <w:p>
      <w:pPr>
        <w:sectPr>
          <w:type w:val="continuous"/>
          <w:pgSz w:w="12240" w:h="15840"/>
          <w:pgMar w:left="720" w:right="720" w:gutter="0" w:header="0" w:top="720" w:footer="965" w:bottom="1021"/>
          <w:formProt w:val="false"/>
          <w:textDirection w:val="lrTb"/>
        </w:sectPr>
      </w:pPr>
    </w:p>
    <w:p>
      <w:pPr>
        <w:pStyle w:val="Normal"/>
        <w:rPr>
          <w:b/>
          <w:bCs/>
          <w:color w:val="0000FF"/>
          <w:sz w:val="24"/>
          <w:szCs w:val="24"/>
        </w:rPr>
      </w:pPr>
      <w:r>
        <w:rPr>
          <w:b/>
          <w:bCs/>
          <w:color w:val="0000FF"/>
          <w:sz w:val="24"/>
          <w:szCs w:val="24"/>
        </w:rPr>
        <w:drawing>
          <wp:inline distT="0" distB="0" distL="0" distR="0">
            <wp:extent cx="6867525" cy="2486025"/>
            <wp:effectExtent l="0" t="0" r="0" b="0"/>
            <wp:docPr id="9"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title=""/>
                    <pic:cNvPicPr>
                      <a:picLocks noChangeAspect="1" noChangeArrowheads="1"/>
                    </pic:cNvPicPr>
                  </pic:nvPicPr>
                  <pic:blipFill>
                    <a:blip r:embed="rId12"/>
                    <a:stretch>
                      <a:fillRect/>
                    </a:stretch>
                  </pic:blipFill>
                  <pic:spPr bwMode="auto">
                    <a:xfrm>
                      <a:off x="0" y="0"/>
                      <a:ext cx="6867525" cy="2486025"/>
                    </a:xfrm>
                    <a:prstGeom prst="rect">
                      <a:avLst/>
                    </a:prstGeom>
                    <a:noFill/>
                  </pic:spPr>
                </pic:pic>
              </a:graphicData>
            </a:graphic>
          </wp:inline>
        </w:drawing>
      </w:r>
    </w:p>
    <w:p>
      <w:pPr>
        <w:pStyle w:val="Normal"/>
        <w:jc w:val="center"/>
        <w:rPr>
          <w:b/>
          <w:bCs/>
          <w:color w:val="0000FF"/>
          <w:sz w:val="24"/>
          <w:szCs w:val="24"/>
        </w:rPr>
      </w:pPr>
      <w:r>
        <w:rPr>
          <w:b/>
          <w:bCs/>
          <w:color w:val="0000FF"/>
          <w:sz w:val="24"/>
          <w:szCs w:val="24"/>
        </w:rPr>
        <w:drawing>
          <wp:inline distT="0" distB="0" distL="0" distR="0">
            <wp:extent cx="6867525" cy="2495550"/>
            <wp:effectExtent l="0" t="0" r="0" b="0"/>
            <wp:docPr id="1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title=""/>
                    <pic:cNvPicPr>
                      <a:picLocks noChangeAspect="1" noChangeArrowheads="1"/>
                    </pic:cNvPicPr>
                  </pic:nvPicPr>
                  <pic:blipFill>
                    <a:blip r:embed="rId13"/>
                    <a:stretch>
                      <a:fillRect/>
                    </a:stretch>
                  </pic:blipFill>
                  <pic:spPr bwMode="auto">
                    <a:xfrm>
                      <a:off x="0" y="0"/>
                      <a:ext cx="6867525" cy="2495550"/>
                    </a:xfrm>
                    <a:prstGeom prst="rect">
                      <a:avLst/>
                    </a:prstGeom>
                    <a:noFill/>
                  </pic:spPr>
                </pic:pic>
              </a:graphicData>
            </a:graphic>
          </wp:inline>
        </w:drawing>
      </w:r>
    </w:p>
    <w:p>
      <w:pPr>
        <w:pStyle w:val="Normal"/>
        <w:jc w:val="center"/>
        <w:rPr>
          <w:b/>
          <w:bCs/>
          <w:color w:val="0000FF"/>
          <w:sz w:val="24"/>
          <w:szCs w:val="24"/>
        </w:rPr>
      </w:pPr>
      <w:r>
        <w:rPr>
          <w:b/>
          <w:bCs/>
          <w:color w:val="0000FF"/>
          <w:sz w:val="24"/>
          <w:szCs w:val="24"/>
        </w:rPr>
        <w:drawing>
          <wp:inline distT="0" distB="0" distL="0" distR="0">
            <wp:extent cx="6877050" cy="2505075"/>
            <wp:effectExtent l="0" t="0" r="0" b="0"/>
            <wp:docPr id="11"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title=""/>
                    <pic:cNvPicPr>
                      <a:picLocks noChangeAspect="1" noChangeArrowheads="1"/>
                    </pic:cNvPicPr>
                  </pic:nvPicPr>
                  <pic:blipFill>
                    <a:blip r:embed="rId14"/>
                    <a:stretch>
                      <a:fillRect/>
                    </a:stretch>
                  </pic:blipFill>
                  <pic:spPr bwMode="auto">
                    <a:xfrm>
                      <a:off x="0" y="0"/>
                      <a:ext cx="6877050" cy="2505075"/>
                    </a:xfrm>
                    <a:prstGeom prst="rect">
                      <a:avLst/>
                    </a:prstGeom>
                    <a:noFill/>
                  </pic:spPr>
                </pic:pic>
              </a:graphicData>
            </a:graphic>
          </wp:inline>
        </w:drawing>
      </w:r>
    </w:p>
    <w:p>
      <w:pPr>
        <w:sectPr>
          <w:type w:val="continuous"/>
          <w:pgSz w:w="12240" w:h="15840"/>
          <w:pgMar w:left="720" w:right="720" w:gutter="0" w:header="0" w:top="720" w:footer="965" w:bottom="1021"/>
          <w:formProt w:val="false"/>
          <w:textDirection w:val="lrTb"/>
        </w:sectPr>
      </w:pPr>
    </w:p>
    <w:p>
      <w:pPr>
        <w:pStyle w:val="Normal"/>
        <w:numPr>
          <w:ilvl w:val="0"/>
          <w:numId w:val="0"/>
        </w:numPr>
        <w:pBdr>
          <w:top w:val="single" w:sz="18" w:space="1" w:color="0000FF"/>
          <w:left w:val="single" w:sz="18" w:space="1" w:color="0000FF"/>
          <w:bottom w:val="single" w:sz="18" w:space="1" w:color="0000FF"/>
          <w:right w:val="single" w:sz="18" w:space="1" w:color="0000FF"/>
        </w:pBdr>
        <w:jc w:val="center"/>
        <w:rPr>
          <w:b/>
          <w:bCs/>
          <w:color w:val="0000FF"/>
          <w:sz w:val="24"/>
          <w:szCs w:val="24"/>
        </w:rPr>
      </w:pPr>
      <w:r>
        <w:rPr>
          <w:b/>
          <w:bCs/>
          <w:color w:val="0000FF"/>
          <w:sz w:val="24"/>
          <w:szCs w:val="24"/>
        </w:rPr>
      </w:r>
      <w:r>
        <w:br w:type="page"/>
      </w:r>
    </w:p>
    <w:p>
      <w:pPr>
        <w:pStyle w:val="Normal"/>
        <w:pBdr>
          <w:top w:val="single" w:sz="18" w:space="1" w:color="0000FF"/>
          <w:left w:val="single" w:sz="18" w:space="1" w:color="0000FF"/>
          <w:bottom w:val="single" w:sz="18" w:space="1" w:color="0000FF"/>
          <w:right w:val="single" w:sz="18" w:space="1" w:color="0000FF"/>
        </w:pBdr>
        <w:jc w:val="center"/>
        <w:rPr>
          <w:b/>
          <w:bCs/>
          <w:color w:val="0000FF"/>
          <w:sz w:val="24"/>
          <w:szCs w:val="24"/>
        </w:rPr>
      </w:pPr>
      <w:r>
        <w:rPr>
          <w:b/>
          <w:bCs/>
          <w:color w:val="0000FF"/>
          <w:sz w:val="24"/>
          <w:szCs w:val="24"/>
        </w:rPr>
        <w:t>Worldwide Comparisons of Margins on Crude</w:t>
      </w:r>
    </w:p>
    <w:p>
      <w:pPr>
        <w:pStyle w:val="Normal"/>
        <w:jc w:val="center"/>
        <w:rPr>
          <w:b/>
          <w:bCs/>
          <w:color w:val="0000FF"/>
          <w:sz w:val="24"/>
          <w:szCs w:val="24"/>
        </w:rPr>
      </w:pPr>
      <w:r>
        <w:rPr>
          <w:b/>
          <w:bCs/>
          <w:color w:val="0000FF"/>
          <w:sz w:val="24"/>
          <w:szCs w:val="24"/>
        </w:rPr>
      </w:r>
    </w:p>
    <w:p>
      <w:pPr>
        <w:pStyle w:val="Normal"/>
        <w:rPr>
          <w:lang w:val="en-CA"/>
        </w:rPr>
      </w:pPr>
      <w:r>
        <w:rPr>
          <w:b/>
          <w:bCs/>
          <w:color w:val="0000FF"/>
          <w:sz w:val="24"/>
          <w:szCs w:val="24"/>
          <w:lang w:val="en-CA"/>
        </w:rPr>
        <w:tab/>
        <w:tab/>
        <w:tab/>
        <w:t xml:space="preserve">        </w:t>
      </w:r>
      <w:r>
        <w:rPr>
          <w:b/>
          <w:bCs/>
          <w:sz w:val="24"/>
          <w:szCs w:val="24"/>
          <w:u w:val="single"/>
          <w:lang w:val="en-CA"/>
        </w:rPr>
        <w:t xml:space="preserve">Average Upgrade Mode </w:t>
      </w:r>
      <w:r>
        <w:rPr>
          <w:sz w:val="24"/>
          <w:szCs w:val="24"/>
          <w:lang w:val="en-CA"/>
        </w:rPr>
        <w:t xml:space="preserve">     </w:t>
        <w:tab/>
        <w:tab/>
        <w:t xml:space="preserve">     </w:t>
      </w:r>
      <w:r>
        <w:rPr>
          <w:b/>
          <w:bCs/>
          <w:sz w:val="24"/>
          <w:szCs w:val="24"/>
          <w:u w:val="single"/>
          <w:lang w:val="en-CA"/>
        </w:rPr>
        <w:t>Maximum Upgrade Mode</w:t>
      </w:r>
    </w:p>
    <w:tbl>
      <w:tblPr>
        <w:tblW w:w="10921" w:type="dxa"/>
        <w:jc w:val="start"/>
        <w:tblInd w:w="0" w:type="dxa"/>
        <w:tblLayout w:type="fixed"/>
        <w:tblCellMar>
          <w:top w:w="0" w:type="dxa"/>
          <w:start w:w="30" w:type="dxa"/>
          <w:bottom w:w="0" w:type="dxa"/>
          <w:end w:w="30" w:type="dxa"/>
        </w:tblCellMar>
      </w:tblPr>
      <w:tblGrid>
        <w:gridCol w:w="1182"/>
        <w:gridCol w:w="288"/>
        <w:gridCol w:w="864"/>
        <w:gridCol w:w="756"/>
        <w:gridCol w:w="396"/>
        <w:gridCol w:w="1152"/>
        <w:gridCol w:w="72"/>
        <w:gridCol w:w="1080"/>
        <w:gridCol w:w="360"/>
        <w:gridCol w:w="792"/>
        <w:gridCol w:w="648"/>
        <w:gridCol w:w="504"/>
        <w:gridCol w:w="1116"/>
        <w:gridCol w:w="1711"/>
      </w:tblGrid>
      <w:tr>
        <w:trPr>
          <w:trHeight w:val="294" w:hRule="atLeast"/>
        </w:trPr>
        <w:tc>
          <w:tcPr>
            <w:tcW w:w="1470" w:type="dxa"/>
            <w:gridSpan w:val="2"/>
            <w:tcBorders>
              <w:end w:val="dashed" w:sz="6" w:space="0" w:color="auto"/>
            </w:tcBorders>
          </w:tcPr>
          <w:p>
            <w:pPr>
              <w:pStyle w:val="Normal"/>
              <w:snapToGrid w:val="false"/>
              <w:jc w:val="end"/>
              <w:rPr>
                <w:rFonts w:ascii="Arial" w:hAnsi="Arial" w:eastAsia="Arial" w:cs="Arial"/>
                <w:color w:val="000000"/>
                <w:sz w:val="24"/>
                <w:szCs w:val="24"/>
              </w:rPr>
            </w:pPr>
            <w:r>
              <w:rPr>
                <w:rFonts w:eastAsia="Arial" w:cs="Arial" w:ascii="Arial" w:hAnsi="Arial"/>
                <w:color w:val="000000"/>
                <w:sz w:val="24"/>
                <w:szCs w:val="24"/>
              </w:rPr>
            </w:r>
          </w:p>
        </w:tc>
        <w:tc>
          <w:tcPr>
            <w:tcW w:w="9451" w:type="dxa"/>
            <w:gridSpan w:val="12"/>
            <w:tcBorders>
              <w:top w:val="single" w:sz="6" w:space="0" w:color="000000"/>
              <w:start w:val="single" w:sz="6" w:space="0" w:color="000000"/>
              <w:bottom w:val="single" w:sz="6" w:space="0" w:color="000000"/>
              <w:end w:val="single" w:sz="6" w:space="0" w:color="000000"/>
            </w:tcBorders>
          </w:tcPr>
          <w:p>
            <w:pPr>
              <w:pStyle w:val="Normal"/>
              <w:jc w:val="center"/>
              <w:rPr/>
            </w:pPr>
            <w:r>
              <w:rPr>
                <w:rFonts w:eastAsia="Arial" w:cs="Arial" w:ascii="Arial" w:hAnsi="Arial"/>
                <w:b/>
                <w:bCs/>
                <w:color w:val="000000"/>
              </w:rPr>
              <w:t>Average Upgrade</w:t>
            </w:r>
            <w:r>
              <w:rPr>
                <w:rFonts w:eastAsia="Arial" w:cs="Arial" w:ascii="Arial" w:hAnsi="Arial"/>
                <w:b/>
                <w:bCs/>
                <w:color w:val="000000"/>
                <w:u w:val="single"/>
              </w:rPr>
              <w:t xml:space="preserve"> Mode</w:t>
            </w:r>
          </w:p>
        </w:tc>
        <w:tc>
          <w:tcPr>
            <w:tcW w:w="0" w:type="dxa"/>
            <w:vMerge w:val="continue"/>
            <w:tcBorders>
              <w:top w:val="single" w:sz="6" w:space="0" w:color="000000"/>
              <w:start w:val="single" w:sz="6" w:space="0" w:color="000000"/>
              <w:bottom w:val="single" w:sz="6" w:space="0" w:color="000000"/>
              <w:end w:val="single" w:sz="6" w:space="0" w:color="000000"/>
            </w:tcBorders>
          </w:tcPr>
          <w:p>
            <w:pPr>
              <w:pStyle w:val="Normal"/>
              <w:snapToGrid w:val="false"/>
              <w:jc w:val="center"/>
              <w:rPr>
                <w:rFonts w:ascii="Arial" w:hAnsi="Arial" w:eastAsia="Arial" w:cs="Arial"/>
                <w:b/>
                <w:bCs/>
                <w:color w:val="000000"/>
                <w:u w:val="single"/>
              </w:rPr>
            </w:pPr>
            <w:r>
              <w:rPr>
                <w:rFonts w:eastAsia="Arial" w:cs="Arial" w:ascii="Arial" w:hAnsi="Arial"/>
                <w:b/>
                <w:bCs/>
                <w:color w:val="000000"/>
                <w:u w:val="single"/>
              </w:rPr>
            </w:r>
          </w:p>
        </w:tc>
        <w:tc>
          <w:tcPr>
            <w:tcW w:w="0" w:type="dxa"/>
            <w:vMerge w:val="continue"/>
            <w:tcBorders>
              <w:top w:val="single" w:sz="6" w:space="0" w:color="000000"/>
              <w:start w:val="single" w:sz="6" w:space="0" w:color="000000"/>
              <w:bottom w:val="single" w:sz="6" w:space="0" w:color="000000"/>
              <w:end w:val="single" w:sz="6" w:space="0" w:color="000000"/>
            </w:tcBorders>
          </w:tcPr>
          <w:p>
            <w:pPr>
              <w:pStyle w:val="Normal"/>
              <w:snapToGrid w:val="false"/>
              <w:jc w:val="center"/>
              <w:rPr>
                <w:rFonts w:ascii="Arial" w:hAnsi="Arial" w:eastAsia="Arial" w:cs="Arial"/>
                <w:b/>
                <w:bCs/>
                <w:color w:val="000000"/>
              </w:rPr>
            </w:pPr>
            <w:r>
              <w:rPr>
                <w:rFonts w:eastAsia="Arial" w:cs="Arial" w:ascii="Arial" w:hAnsi="Arial"/>
                <w:b/>
                <w:bCs/>
                <w:color w:val="000000"/>
              </w:rPr>
            </w:r>
          </w:p>
        </w:tc>
        <w:tc>
          <w:tcPr>
            <w:tcW w:w="0" w:type="dxa"/>
            <w:vMerge w:val="continue"/>
            <w:tcBorders>
              <w:top w:val="single" w:sz="6" w:space="0" w:color="000000"/>
              <w:start w:val="single" w:sz="6" w:space="0" w:color="000000"/>
              <w:bottom w:val="single" w:sz="6" w:space="0" w:color="000000"/>
              <w:end w:val="single" w:sz="6" w:space="0" w:color="000000"/>
            </w:tcBorders>
          </w:tcPr>
          <w:p>
            <w:pPr>
              <w:pStyle w:val="Normal"/>
              <w:jc w:val="center"/>
              <w:rPr/>
            </w:pPr>
            <w:r>
              <w:rPr>
                <w:rFonts w:eastAsia="Arial" w:cs="Arial" w:ascii="Arial" w:hAnsi="Arial"/>
                <w:b/>
                <w:bCs/>
                <w:color w:val="000000"/>
              </w:rPr>
              <w:t>Maximum Upgrade</w:t>
            </w:r>
            <w:r>
              <w:rPr>
                <w:rFonts w:eastAsia="Arial" w:cs="Arial" w:ascii="Arial" w:hAnsi="Arial"/>
                <w:b/>
                <w:bCs/>
                <w:color w:val="000000"/>
                <w:u w:val="single"/>
              </w:rPr>
              <w:t xml:space="preserve"> Mode</w:t>
            </w:r>
          </w:p>
        </w:tc>
        <w:tc>
          <w:tcPr>
            <w:tcW w:w="0" w:type="dxa"/>
            <w:vMerge w:val="continue"/>
            <w:tcBorders>
              <w:top w:val="single" w:sz="6" w:space="0" w:color="000000"/>
              <w:start w:val="single" w:sz="6" w:space="0" w:color="000000"/>
              <w:bottom w:val="single" w:sz="6" w:space="0" w:color="000000"/>
            </w:tcBorders>
          </w:tcPr>
          <w:p>
            <w:pPr>
              <w:pStyle w:val="Normal"/>
              <w:snapToGrid w:val="false"/>
              <w:jc w:val="center"/>
              <w:rPr>
                <w:rFonts w:ascii="Arial" w:hAnsi="Arial" w:eastAsia="Arial" w:cs="Arial"/>
                <w:b/>
                <w:bCs/>
                <w:color w:val="000000"/>
                <w:u w:val="single"/>
              </w:rPr>
            </w:pPr>
            <w:r>
              <w:rPr>
                <w:rFonts w:eastAsia="Arial" w:cs="Arial" w:ascii="Arial" w:hAnsi="Arial"/>
                <w:b/>
                <w:bCs/>
                <w:color w:val="000000"/>
                <w:u w:val="single"/>
              </w:rPr>
            </w:r>
          </w:p>
        </w:tc>
        <w:tc>
          <w:tcPr>
            <w:tcW w:w="0" w:type="dxa"/>
            <w:vMerge w:val="continue"/>
            <w:tcBorders>
              <w:top w:val="single" w:sz="6" w:space="0" w:color="000000"/>
              <w:start w:val="single" w:sz="6" w:space="0" w:color="000000"/>
              <w:bottom w:val="single" w:sz="6" w:space="0" w:color="000000"/>
            </w:tcBorders>
          </w:tcPr>
          <w:p>
            <w:pPr>
              <w:pStyle w:val="Normal"/>
              <w:snapToGrid w:val="false"/>
              <w:jc w:val="center"/>
              <w:rPr>
                <w:rFonts w:ascii="Arial" w:hAnsi="Arial" w:eastAsia="Arial" w:cs="Arial"/>
                <w:b/>
                <w:bCs/>
                <w:color w:val="000000"/>
              </w:rPr>
            </w:pPr>
            <w:r>
              <w:rPr>
                <w:rFonts w:eastAsia="Arial" w:cs="Arial" w:ascii="Arial" w:hAnsi="Arial"/>
                <w:b/>
                <w:bCs/>
                <w:color w:val="000000"/>
              </w:rPr>
            </w:r>
          </w:p>
        </w:tc>
      </w:tr>
      <w:tr>
        <w:trPr>
          <w:trHeight w:val="294" w:hRule="atLeast"/>
        </w:trPr>
        <w:tc>
          <w:tcPr>
            <w:tcW w:w="1470" w:type="dxa"/>
            <w:gridSpan w:val="2"/>
            <w:tcBorders>
              <w:end w:val="dashed" w:sz="6" w:space="0" w:color="auto"/>
            </w:tcBorders>
          </w:tcPr>
          <w:p>
            <w:pPr>
              <w:pStyle w:val="Normal"/>
              <w:snapToGrid w:val="false"/>
              <w:jc w:val="end"/>
              <w:rPr>
                <w:rFonts w:ascii="Arial" w:hAnsi="Arial" w:eastAsia="Arial" w:cs="Arial"/>
                <w:b/>
                <w:bCs/>
                <w:color w:val="000000"/>
                <w:sz w:val="24"/>
                <w:szCs w:val="24"/>
              </w:rPr>
            </w:pPr>
            <w:r>
              <w:rPr>
                <w:rFonts w:eastAsia="Arial" w:cs="Arial" w:ascii="Arial" w:hAnsi="Arial"/>
                <w:b/>
                <w:bCs/>
                <w:color w:val="000000"/>
                <w:sz w:val="24"/>
                <w:szCs w:val="24"/>
              </w:rPr>
            </w:r>
          </w:p>
        </w:tc>
        <w:tc>
          <w:tcPr>
            <w:tcW w:w="1620" w:type="dxa"/>
            <w:gridSpan w:val="2"/>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eastAsia="Arial" w:cs="Arial"/>
                <w:b/>
                <w:bCs/>
                <w:color w:val="000000"/>
              </w:rPr>
            </w:pPr>
            <w:r>
              <w:rPr>
                <w:rFonts w:eastAsia="Arial" w:cs="Arial" w:ascii="Arial" w:hAnsi="Arial"/>
                <w:b/>
                <w:bCs/>
                <w:color w:val="000000"/>
              </w:rPr>
              <w:t>US Gulf</w:t>
            </w:r>
          </w:p>
        </w:tc>
        <w:tc>
          <w:tcPr>
            <w:tcW w:w="1620" w:type="dxa"/>
            <w:gridSpan w:val="3"/>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eastAsia="Arial" w:cs="Arial"/>
                <w:b/>
                <w:bCs/>
                <w:color w:val="000000"/>
              </w:rPr>
            </w:pPr>
            <w:r>
              <w:rPr>
                <w:rFonts w:eastAsia="Arial" w:cs="Arial" w:ascii="Arial" w:hAnsi="Arial"/>
                <w:b/>
                <w:bCs/>
                <w:color w:val="000000"/>
              </w:rPr>
              <w:t>NWE</w:t>
            </w:r>
          </w:p>
        </w:tc>
        <w:tc>
          <w:tcPr>
            <w:tcW w:w="1440" w:type="dxa"/>
            <w:gridSpan w:val="2"/>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eastAsia="Arial" w:cs="Arial"/>
                <w:b/>
                <w:bCs/>
                <w:color w:val="000000"/>
              </w:rPr>
            </w:pPr>
            <w:r>
              <w:rPr>
                <w:rFonts w:eastAsia="Arial" w:cs="Arial" w:ascii="Arial" w:hAnsi="Arial"/>
                <w:b/>
                <w:bCs/>
                <w:color w:val="000000"/>
              </w:rPr>
              <w:t>Singapore</w:t>
            </w:r>
          </w:p>
        </w:tc>
        <w:tc>
          <w:tcPr>
            <w:tcW w:w="1440" w:type="dxa"/>
            <w:gridSpan w:val="2"/>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eastAsia="Arial" w:cs="Arial"/>
                <w:b/>
                <w:bCs/>
                <w:color w:val="000000"/>
              </w:rPr>
            </w:pPr>
            <w:r>
              <w:rPr>
                <w:rFonts w:eastAsia="Arial" w:cs="Arial" w:ascii="Arial" w:hAnsi="Arial"/>
                <w:b/>
                <w:bCs/>
                <w:color w:val="000000"/>
              </w:rPr>
              <w:t>US Gulf</w:t>
            </w:r>
          </w:p>
        </w:tc>
        <w:tc>
          <w:tcPr>
            <w:tcW w:w="1620" w:type="dxa"/>
            <w:gridSpan w:val="2"/>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eastAsia="Arial" w:cs="Arial"/>
                <w:b/>
                <w:bCs/>
                <w:color w:val="000000"/>
              </w:rPr>
            </w:pPr>
            <w:r>
              <w:rPr>
                <w:rFonts w:eastAsia="Arial" w:cs="Arial" w:ascii="Arial" w:hAnsi="Arial"/>
                <w:b/>
                <w:bCs/>
                <w:color w:val="000000"/>
              </w:rPr>
              <w:t>NWE</w:t>
            </w:r>
          </w:p>
        </w:tc>
        <w:tc>
          <w:tcPr>
            <w:tcW w:w="1711" w:type="dxa"/>
            <w:tcBorders>
              <w:top w:val="single" w:sz="6" w:space="0" w:color="000000"/>
              <w:start w:val="single" w:sz="6" w:space="0" w:color="000000"/>
              <w:bottom w:val="single" w:sz="6" w:space="0" w:color="000000"/>
            </w:tcBorders>
          </w:tcPr>
          <w:p>
            <w:pPr>
              <w:pStyle w:val="Normal"/>
              <w:jc w:val="center"/>
              <w:rPr>
                <w:rFonts w:ascii="Arial" w:hAnsi="Arial" w:eastAsia="Arial" w:cs="Arial"/>
                <w:b/>
                <w:bCs/>
                <w:color w:val="000000"/>
              </w:rPr>
            </w:pPr>
            <w:r>
              <w:rPr>
                <w:rFonts w:eastAsia="Arial" w:cs="Arial" w:ascii="Arial" w:hAnsi="Arial"/>
                <w:b/>
                <w:bCs/>
                <w:color w:val="000000"/>
              </w:rPr>
              <w:t>Singapore</w:t>
            </w:r>
          </w:p>
        </w:tc>
      </w:tr>
      <w:tr>
        <w:trPr>
          <w:trHeight w:val="294" w:hRule="atLeast"/>
        </w:trPr>
        <w:tc>
          <w:tcPr>
            <w:tcW w:w="1470" w:type="dxa"/>
            <w:gridSpan w:val="2"/>
            <w:tcBorders/>
          </w:tcPr>
          <w:p>
            <w:pPr>
              <w:pStyle w:val="Normal"/>
              <w:snapToGrid w:val="false"/>
              <w:jc w:val="end"/>
              <w:rPr>
                <w:rFonts w:ascii="Arial" w:hAnsi="Arial" w:eastAsia="Arial" w:cs="Arial"/>
                <w:b/>
                <w:bCs/>
                <w:color w:val="000000"/>
                <w:sz w:val="24"/>
                <w:szCs w:val="24"/>
              </w:rPr>
            </w:pPr>
            <w:r>
              <w:rPr>
                <w:rFonts w:eastAsia="Arial" w:cs="Arial" w:ascii="Arial" w:hAnsi="Arial"/>
                <w:b/>
                <w:bCs/>
                <w:color w:val="000000"/>
                <w:sz w:val="24"/>
                <w:szCs w:val="24"/>
              </w:rPr>
            </w:r>
          </w:p>
        </w:tc>
        <w:tc>
          <w:tcPr>
            <w:tcW w:w="1620" w:type="dxa"/>
            <w:gridSpan w:val="2"/>
            <w:tcBorders>
              <w:top w:val="dashed" w:sz="6" w:space="0" w:color="auto"/>
            </w:tcBorders>
          </w:tcPr>
          <w:p>
            <w:pPr>
              <w:pStyle w:val="Normal"/>
              <w:jc w:val="center"/>
              <w:rPr>
                <w:rFonts w:ascii="Arial" w:hAnsi="Arial" w:eastAsia="Arial" w:cs="Arial"/>
                <w:color w:val="000000"/>
              </w:rPr>
            </w:pPr>
            <w:r>
              <w:rPr>
                <w:rFonts w:eastAsia="Arial" w:cs="Arial" w:ascii="Arial" w:hAnsi="Arial"/>
                <w:color w:val="000000"/>
              </w:rPr>
              <w:t>FCC</w:t>
            </w:r>
          </w:p>
        </w:tc>
        <w:tc>
          <w:tcPr>
            <w:tcW w:w="1620" w:type="dxa"/>
            <w:gridSpan w:val="3"/>
            <w:tcBorders>
              <w:top w:val="dashed" w:sz="6" w:space="0" w:color="auto"/>
            </w:tcBorders>
          </w:tcPr>
          <w:p>
            <w:pPr>
              <w:pStyle w:val="Normal"/>
              <w:jc w:val="center"/>
              <w:rPr>
                <w:rFonts w:ascii="Arial" w:hAnsi="Arial" w:eastAsia="Arial" w:cs="Arial"/>
                <w:color w:val="000000"/>
              </w:rPr>
            </w:pPr>
            <w:r>
              <w:rPr>
                <w:rFonts w:eastAsia="Arial" w:cs="Arial" w:ascii="Arial" w:hAnsi="Arial"/>
                <w:color w:val="000000"/>
              </w:rPr>
              <w:t>Visbreak</w:t>
            </w:r>
          </w:p>
        </w:tc>
        <w:tc>
          <w:tcPr>
            <w:tcW w:w="1440" w:type="dxa"/>
            <w:gridSpan w:val="2"/>
            <w:tcBorders>
              <w:top w:val="dashed" w:sz="6" w:space="0" w:color="auto"/>
            </w:tcBorders>
          </w:tcPr>
          <w:p>
            <w:pPr>
              <w:pStyle w:val="Normal"/>
              <w:jc w:val="center"/>
              <w:rPr>
                <w:rFonts w:ascii="Arial" w:hAnsi="Arial" w:eastAsia="Arial" w:cs="Arial"/>
                <w:color w:val="000000"/>
              </w:rPr>
            </w:pPr>
            <w:r>
              <w:rPr>
                <w:rFonts w:eastAsia="Arial" w:cs="Arial" w:ascii="Arial" w:hAnsi="Arial"/>
                <w:color w:val="000000"/>
              </w:rPr>
              <w:t>Visbreak</w:t>
            </w:r>
          </w:p>
        </w:tc>
        <w:tc>
          <w:tcPr>
            <w:tcW w:w="1440" w:type="dxa"/>
            <w:gridSpan w:val="2"/>
            <w:tcBorders>
              <w:top w:val="dashed" w:sz="6" w:space="0" w:color="auto"/>
            </w:tcBorders>
          </w:tcPr>
          <w:p>
            <w:pPr>
              <w:pStyle w:val="Normal"/>
              <w:jc w:val="center"/>
              <w:rPr>
                <w:rFonts w:ascii="Arial" w:hAnsi="Arial" w:eastAsia="Arial" w:cs="Arial"/>
                <w:color w:val="000000"/>
              </w:rPr>
            </w:pPr>
            <w:r>
              <w:rPr>
                <w:rFonts w:eastAsia="Arial" w:cs="Arial" w:ascii="Arial" w:hAnsi="Arial"/>
                <w:color w:val="000000"/>
              </w:rPr>
              <w:t>FCC/Coke</w:t>
            </w:r>
          </w:p>
        </w:tc>
        <w:tc>
          <w:tcPr>
            <w:tcW w:w="1620" w:type="dxa"/>
            <w:gridSpan w:val="2"/>
            <w:tcBorders>
              <w:top w:val="dashed" w:sz="6" w:space="0" w:color="auto"/>
            </w:tcBorders>
          </w:tcPr>
          <w:p>
            <w:pPr>
              <w:pStyle w:val="Normal"/>
              <w:jc w:val="center"/>
              <w:rPr>
                <w:rFonts w:ascii="Arial" w:hAnsi="Arial" w:eastAsia="Arial" w:cs="Arial"/>
                <w:color w:val="000000"/>
              </w:rPr>
            </w:pPr>
            <w:r>
              <w:rPr>
                <w:rFonts w:eastAsia="Arial" w:cs="Arial" w:ascii="Arial" w:hAnsi="Arial"/>
                <w:color w:val="000000"/>
              </w:rPr>
              <w:t>FCC/Visb</w:t>
            </w:r>
          </w:p>
        </w:tc>
        <w:tc>
          <w:tcPr>
            <w:tcW w:w="1711" w:type="dxa"/>
            <w:tcBorders>
              <w:top w:val="dashed" w:sz="6" w:space="0" w:color="auto"/>
            </w:tcBorders>
          </w:tcPr>
          <w:p>
            <w:pPr>
              <w:pStyle w:val="Normal"/>
              <w:jc w:val="center"/>
              <w:rPr>
                <w:rFonts w:ascii="Arial" w:hAnsi="Arial" w:eastAsia="Arial" w:cs="Arial"/>
                <w:color w:val="000000"/>
              </w:rPr>
            </w:pPr>
            <w:r>
              <w:rPr>
                <w:rFonts w:eastAsia="Arial" w:cs="Arial" w:ascii="Arial" w:hAnsi="Arial"/>
                <w:color w:val="000000"/>
              </w:rPr>
              <w:t>HyCrk/Visb</w:t>
            </w:r>
          </w:p>
        </w:tc>
      </w:tr>
      <w:tr>
        <w:trPr>
          <w:trHeight w:val="294" w:hRule="atLeast"/>
        </w:trPr>
        <w:tc>
          <w:tcPr>
            <w:tcW w:w="1470" w:type="dxa"/>
            <w:gridSpan w:val="2"/>
            <w:tcBorders/>
          </w:tcPr>
          <w:p>
            <w:pPr>
              <w:pStyle w:val="Normal"/>
              <w:jc w:val="end"/>
              <w:rPr>
                <w:rFonts w:ascii="Arial" w:hAnsi="Arial" w:eastAsia="Arial" w:cs="Arial"/>
                <w:b/>
                <w:bCs/>
                <w:color w:val="000000"/>
              </w:rPr>
            </w:pPr>
            <w:r>
              <w:rPr>
                <w:rFonts w:eastAsia="Arial" w:cs="Arial" w:ascii="Arial" w:hAnsi="Arial"/>
                <w:b/>
                <w:bCs/>
                <w:color w:val="000000"/>
              </w:rPr>
              <w:t>Arab Hvy</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($8.39)</w:t>
            </w:r>
          </w:p>
        </w:tc>
        <w:tc>
          <w:tcPr>
            <w:tcW w:w="1620" w:type="dxa"/>
            <w:gridSpan w:val="3"/>
            <w:tcBorders/>
          </w:tcPr>
          <w:p>
            <w:pPr>
              <w:pStyle w:val="Normal"/>
              <w:jc w:val="center"/>
              <w:rPr>
                <w:rFonts w:ascii="Arial" w:hAnsi="Arial" w:eastAsia="Arial" w:cs="Arial"/>
                <w:color w:val="000000"/>
              </w:rPr>
            </w:pPr>
            <w:r>
              <w:rPr>
                <w:rFonts w:eastAsia="Arial" w:cs="Arial" w:ascii="Arial" w:hAnsi="Arial"/>
                <w:color w:val="000000"/>
              </w:rPr>
              <w:t>($3.80)</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($2.59)</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($0.96)</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($3.25)</w:t>
            </w:r>
          </w:p>
        </w:tc>
        <w:tc>
          <w:tcPr>
            <w:tcW w:w="1711" w:type="dxa"/>
            <w:tcBorders/>
          </w:tcPr>
          <w:p>
            <w:pPr>
              <w:pStyle w:val="Normal"/>
              <w:jc w:val="center"/>
              <w:rPr>
                <w:rFonts w:ascii="Arial" w:hAnsi="Arial" w:eastAsia="Arial" w:cs="Arial"/>
                <w:color w:val="000000"/>
              </w:rPr>
            </w:pPr>
            <w:r>
              <w:rPr>
                <w:rFonts w:eastAsia="Arial" w:cs="Arial" w:ascii="Arial" w:hAnsi="Arial"/>
                <w:color w:val="000000"/>
              </w:rPr>
              <w:t>($1.42)</w:t>
            </w:r>
          </w:p>
        </w:tc>
      </w:tr>
      <w:tr>
        <w:trPr>
          <w:trHeight w:val="294" w:hRule="atLeast"/>
        </w:trPr>
        <w:tc>
          <w:tcPr>
            <w:tcW w:w="1470" w:type="dxa"/>
            <w:gridSpan w:val="2"/>
            <w:tcBorders/>
          </w:tcPr>
          <w:p>
            <w:pPr>
              <w:pStyle w:val="Normal"/>
              <w:jc w:val="end"/>
              <w:rPr>
                <w:rFonts w:ascii="Arial" w:hAnsi="Arial" w:eastAsia="Arial" w:cs="Arial"/>
                <w:b/>
                <w:bCs/>
                <w:color w:val="000000"/>
              </w:rPr>
            </w:pPr>
            <w:r>
              <w:rPr>
                <w:rFonts w:eastAsia="Arial" w:cs="Arial" w:ascii="Arial" w:hAnsi="Arial"/>
                <w:b/>
                <w:bCs/>
                <w:color w:val="000000"/>
              </w:rPr>
              <w:t>Brent</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($0.29)</w:t>
            </w:r>
          </w:p>
        </w:tc>
        <w:tc>
          <w:tcPr>
            <w:tcW w:w="1620" w:type="dxa"/>
            <w:gridSpan w:val="3"/>
            <w:tcBorders/>
          </w:tcPr>
          <w:p>
            <w:pPr>
              <w:pStyle w:val="Normal"/>
              <w:jc w:val="center"/>
              <w:rPr>
                <w:rFonts w:ascii="Arial" w:hAnsi="Arial" w:eastAsia="Arial" w:cs="Arial"/>
                <w:color w:val="000000"/>
              </w:rPr>
            </w:pPr>
            <w:r>
              <w:rPr>
                <w:rFonts w:eastAsia="Arial" w:cs="Arial" w:ascii="Arial" w:hAnsi="Arial"/>
                <w:color w:val="000000"/>
              </w:rPr>
              <w:t>($1.13)</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($7.95)</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$0.05</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$0.46</w:t>
            </w:r>
          </w:p>
        </w:tc>
        <w:tc>
          <w:tcPr>
            <w:tcW w:w="1711" w:type="dxa"/>
            <w:tcBorders/>
          </w:tcPr>
          <w:p>
            <w:pPr>
              <w:pStyle w:val="Normal"/>
              <w:jc w:val="center"/>
              <w:rPr>
                <w:rFonts w:ascii="Arial" w:hAnsi="Arial" w:eastAsia="Arial" w:cs="Arial"/>
                <w:color w:val="000000"/>
              </w:rPr>
            </w:pPr>
            <w:r>
              <w:rPr>
                <w:rFonts w:eastAsia="Arial" w:cs="Arial" w:ascii="Arial" w:hAnsi="Arial"/>
                <w:color w:val="000000"/>
              </w:rPr>
              <w:t>($6.54)</w:t>
            </w:r>
          </w:p>
        </w:tc>
      </w:tr>
      <w:tr>
        <w:trPr>
          <w:trHeight w:val="294" w:hRule="atLeast"/>
        </w:trPr>
        <w:tc>
          <w:tcPr>
            <w:tcW w:w="1470" w:type="dxa"/>
            <w:gridSpan w:val="2"/>
            <w:tcBorders/>
          </w:tcPr>
          <w:p>
            <w:pPr>
              <w:pStyle w:val="Normal"/>
              <w:jc w:val="end"/>
              <w:rPr>
                <w:rFonts w:ascii="Arial" w:hAnsi="Arial" w:eastAsia="Arial" w:cs="Arial"/>
                <w:b/>
                <w:bCs/>
                <w:color w:val="000000"/>
              </w:rPr>
            </w:pPr>
            <w:r>
              <w:rPr>
                <w:rFonts w:eastAsia="Arial" w:cs="Arial" w:ascii="Arial" w:hAnsi="Arial"/>
                <w:b/>
                <w:bCs/>
                <w:color w:val="000000"/>
              </w:rPr>
              <w:t>Cabinda</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($0.27)</w:t>
            </w:r>
          </w:p>
        </w:tc>
        <w:tc>
          <w:tcPr>
            <w:tcW w:w="1620" w:type="dxa"/>
            <w:gridSpan w:val="3"/>
            <w:tcBorders/>
          </w:tcPr>
          <w:p>
            <w:pPr>
              <w:pStyle w:val="Normal"/>
              <w:jc w:val="center"/>
              <w:rPr>
                <w:rFonts w:ascii="Arial" w:hAnsi="Arial" w:eastAsia="Arial" w:cs="Arial"/>
                <w:color w:val="000000"/>
              </w:rPr>
            </w:pPr>
            <w:r>
              <w:rPr>
                <w:rFonts w:eastAsia="Arial" w:cs="Arial" w:ascii="Arial" w:hAnsi="Arial"/>
                <w:color w:val="000000"/>
              </w:rPr>
              <w:t>($2.09)</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($4.74)</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$0.75</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($0.49)</w:t>
            </w:r>
          </w:p>
        </w:tc>
        <w:tc>
          <w:tcPr>
            <w:tcW w:w="1711" w:type="dxa"/>
            <w:tcBorders/>
          </w:tcPr>
          <w:p>
            <w:pPr>
              <w:pStyle w:val="Normal"/>
              <w:jc w:val="center"/>
              <w:rPr>
                <w:rFonts w:ascii="Arial" w:hAnsi="Arial" w:eastAsia="Arial" w:cs="Arial"/>
                <w:color w:val="000000"/>
              </w:rPr>
            </w:pPr>
            <w:r>
              <w:rPr>
                <w:rFonts w:eastAsia="Arial" w:cs="Arial" w:ascii="Arial" w:hAnsi="Arial"/>
                <w:color w:val="000000"/>
              </w:rPr>
              <w:t>($2.89)</w:t>
            </w:r>
          </w:p>
        </w:tc>
      </w:tr>
      <w:tr>
        <w:trPr>
          <w:trHeight w:val="294" w:hRule="atLeast"/>
        </w:trPr>
        <w:tc>
          <w:tcPr>
            <w:tcW w:w="1470" w:type="dxa"/>
            <w:gridSpan w:val="2"/>
            <w:tcBorders/>
          </w:tcPr>
          <w:p>
            <w:pPr>
              <w:pStyle w:val="Normal"/>
              <w:jc w:val="end"/>
              <w:rPr>
                <w:rFonts w:ascii="Arial" w:hAnsi="Arial" w:eastAsia="Arial" w:cs="Arial"/>
                <w:b/>
                <w:bCs/>
                <w:color w:val="000000"/>
              </w:rPr>
            </w:pPr>
            <w:r>
              <w:rPr>
                <w:rFonts w:eastAsia="Arial" w:cs="Arial" w:ascii="Arial" w:hAnsi="Arial"/>
                <w:b/>
                <w:bCs/>
                <w:color w:val="000000"/>
              </w:rPr>
              <w:t>Dubai</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($4.38)</w:t>
            </w:r>
          </w:p>
        </w:tc>
        <w:tc>
          <w:tcPr>
            <w:tcW w:w="1620" w:type="dxa"/>
            <w:gridSpan w:val="3"/>
            <w:tcBorders/>
          </w:tcPr>
          <w:p>
            <w:pPr>
              <w:pStyle w:val="Normal"/>
              <w:jc w:val="center"/>
              <w:rPr>
                <w:rFonts w:ascii="Arial" w:hAnsi="Arial" w:eastAsia="Arial" w:cs="Arial"/>
                <w:color w:val="000000"/>
              </w:rPr>
            </w:pPr>
            <w:r>
              <w:rPr>
                <w:rFonts w:eastAsia="Arial" w:cs="Arial" w:ascii="Arial" w:hAnsi="Arial"/>
                <w:color w:val="000000"/>
              </w:rPr>
              <w:t>($3.79)</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($4.28)</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($1.80)</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($2.86)</w:t>
            </w:r>
          </w:p>
        </w:tc>
        <w:tc>
          <w:tcPr>
            <w:tcW w:w="1711" w:type="dxa"/>
            <w:tcBorders/>
          </w:tcPr>
          <w:p>
            <w:pPr>
              <w:pStyle w:val="Normal"/>
              <w:jc w:val="center"/>
              <w:rPr>
                <w:rFonts w:ascii="Arial" w:hAnsi="Arial" w:eastAsia="Arial" w:cs="Arial"/>
                <w:color w:val="000000"/>
              </w:rPr>
            </w:pPr>
            <w:r>
              <w:rPr>
                <w:rFonts w:eastAsia="Arial" w:cs="Arial" w:ascii="Arial" w:hAnsi="Arial"/>
                <w:color w:val="000000"/>
              </w:rPr>
              <w:t>($2.77)</w:t>
            </w:r>
          </w:p>
        </w:tc>
      </w:tr>
      <w:tr>
        <w:trPr>
          <w:trHeight w:val="294" w:hRule="atLeast"/>
        </w:trPr>
        <w:tc>
          <w:tcPr>
            <w:tcW w:w="1470" w:type="dxa"/>
            <w:gridSpan w:val="2"/>
            <w:tcBorders/>
          </w:tcPr>
          <w:p>
            <w:pPr>
              <w:pStyle w:val="Normal"/>
              <w:jc w:val="end"/>
              <w:rPr>
                <w:rFonts w:ascii="Arial" w:hAnsi="Arial" w:eastAsia="Arial" w:cs="Arial"/>
                <w:b/>
                <w:bCs/>
                <w:color w:val="000000"/>
              </w:rPr>
            </w:pPr>
            <w:r>
              <w:rPr>
                <w:rFonts w:eastAsia="Arial" w:cs="Arial" w:ascii="Arial" w:hAnsi="Arial"/>
                <w:b/>
                <w:bCs/>
                <w:color w:val="000000"/>
              </w:rPr>
              <w:t>Kuwait</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($6.12)</w:t>
            </w:r>
          </w:p>
        </w:tc>
        <w:tc>
          <w:tcPr>
            <w:tcW w:w="1620" w:type="dxa"/>
            <w:gridSpan w:val="3"/>
            <w:tcBorders/>
          </w:tcPr>
          <w:p>
            <w:pPr>
              <w:pStyle w:val="Normal"/>
              <w:jc w:val="center"/>
              <w:rPr>
                <w:rFonts w:ascii="Arial" w:hAnsi="Arial" w:eastAsia="Arial" w:cs="Arial"/>
                <w:color w:val="000000"/>
              </w:rPr>
            </w:pPr>
            <w:r>
              <w:rPr>
                <w:rFonts w:eastAsia="Arial" w:cs="Arial" w:ascii="Arial" w:hAnsi="Arial"/>
                <w:color w:val="000000"/>
              </w:rPr>
              <w:t>($3.28)</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($2.83)</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($1.04)</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($2.64)</w:t>
            </w:r>
          </w:p>
        </w:tc>
        <w:tc>
          <w:tcPr>
            <w:tcW w:w="1711" w:type="dxa"/>
            <w:tcBorders/>
          </w:tcPr>
          <w:p>
            <w:pPr>
              <w:pStyle w:val="Normal"/>
              <w:jc w:val="center"/>
              <w:rPr>
                <w:rFonts w:ascii="Arial" w:hAnsi="Arial" w:eastAsia="Arial" w:cs="Arial"/>
                <w:color w:val="000000"/>
              </w:rPr>
            </w:pPr>
            <w:r>
              <w:rPr>
                <w:rFonts w:eastAsia="Arial" w:cs="Arial" w:ascii="Arial" w:hAnsi="Arial"/>
                <w:color w:val="000000"/>
              </w:rPr>
              <w:t>($1.49)</w:t>
            </w:r>
          </w:p>
        </w:tc>
      </w:tr>
      <w:tr>
        <w:trPr>
          <w:trHeight w:val="294" w:hRule="atLeast"/>
        </w:trPr>
        <w:tc>
          <w:tcPr>
            <w:tcW w:w="1470" w:type="dxa"/>
            <w:gridSpan w:val="2"/>
            <w:tcBorders/>
          </w:tcPr>
          <w:p>
            <w:pPr>
              <w:pStyle w:val="Normal"/>
              <w:jc w:val="end"/>
              <w:rPr>
                <w:rFonts w:ascii="Arial" w:hAnsi="Arial" w:eastAsia="Arial" w:cs="Arial"/>
                <w:b/>
                <w:bCs/>
                <w:color w:val="000000"/>
              </w:rPr>
            </w:pPr>
            <w:r>
              <w:rPr>
                <w:rFonts w:eastAsia="Arial" w:cs="Arial" w:ascii="Arial" w:hAnsi="Arial"/>
                <w:b/>
                <w:bCs/>
                <w:color w:val="000000"/>
              </w:rPr>
              <w:t>Marib Lt</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($0.17)</w:t>
            </w:r>
          </w:p>
        </w:tc>
        <w:tc>
          <w:tcPr>
            <w:tcW w:w="1620" w:type="dxa"/>
            <w:gridSpan w:val="3"/>
            <w:tcBorders/>
          </w:tcPr>
          <w:p>
            <w:pPr>
              <w:pStyle w:val="Normal"/>
              <w:jc w:val="center"/>
              <w:rPr>
                <w:rFonts w:ascii="Arial" w:hAnsi="Arial" w:eastAsia="Arial" w:cs="Arial"/>
                <w:color w:val="000000"/>
              </w:rPr>
            </w:pPr>
            <w:r>
              <w:rPr>
                <w:rFonts w:eastAsia="Arial" w:cs="Arial" w:ascii="Arial" w:hAnsi="Arial"/>
                <w:color w:val="000000"/>
              </w:rPr>
              <w:t>$0.17</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($2.16)</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$0.07</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$1.55</w:t>
            </w:r>
          </w:p>
        </w:tc>
        <w:tc>
          <w:tcPr>
            <w:tcW w:w="1711" w:type="dxa"/>
            <w:tcBorders/>
          </w:tcPr>
          <w:p>
            <w:pPr>
              <w:pStyle w:val="Normal"/>
              <w:jc w:val="center"/>
              <w:rPr>
                <w:rFonts w:ascii="Arial" w:hAnsi="Arial" w:eastAsia="Arial" w:cs="Arial"/>
                <w:color w:val="000000"/>
              </w:rPr>
            </w:pPr>
            <w:r>
              <w:rPr>
                <w:rFonts w:eastAsia="Arial" w:cs="Arial" w:ascii="Arial" w:hAnsi="Arial"/>
                <w:color w:val="000000"/>
              </w:rPr>
              <w:t>($0.70)</w:t>
            </w:r>
          </w:p>
        </w:tc>
      </w:tr>
      <w:tr>
        <w:trPr>
          <w:trHeight w:val="357" w:hRule="atLeast"/>
        </w:trPr>
        <w:tc>
          <w:tcPr>
            <w:tcW w:w="1470" w:type="dxa"/>
            <w:gridSpan w:val="2"/>
            <w:tcBorders/>
          </w:tcPr>
          <w:p>
            <w:pPr>
              <w:pStyle w:val="Normal"/>
              <w:jc w:val="end"/>
              <w:rPr>
                <w:rFonts w:ascii="Arial" w:hAnsi="Arial" w:eastAsia="Arial" w:cs="Arial"/>
                <w:b/>
                <w:bCs/>
                <w:color w:val="000000"/>
              </w:rPr>
            </w:pPr>
            <w:r>
              <w:rPr>
                <w:rFonts w:eastAsia="Arial" w:cs="Arial" w:ascii="Arial" w:hAnsi="Arial"/>
                <w:b/>
                <w:bCs/>
                <w:color w:val="000000"/>
              </w:rPr>
              <w:t>Murban</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($4.02)</w:t>
            </w:r>
          </w:p>
        </w:tc>
        <w:tc>
          <w:tcPr>
            <w:tcW w:w="1620" w:type="dxa"/>
            <w:gridSpan w:val="3"/>
            <w:tcBorders/>
          </w:tcPr>
          <w:p>
            <w:pPr>
              <w:pStyle w:val="Normal"/>
              <w:jc w:val="center"/>
              <w:rPr>
                <w:rFonts w:ascii="Arial" w:hAnsi="Arial" w:eastAsia="Arial" w:cs="Arial"/>
                <w:color w:val="000000"/>
              </w:rPr>
            </w:pPr>
            <w:r>
              <w:rPr>
                <w:rFonts w:eastAsia="Arial" w:cs="Arial" w:ascii="Arial" w:hAnsi="Arial"/>
                <w:color w:val="000000"/>
              </w:rPr>
              <w:t>($5.29)</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($5.56)</w:t>
            </w:r>
          </w:p>
        </w:tc>
        <w:tc>
          <w:tcPr>
            <w:tcW w:w="1440" w:type="dxa"/>
            <w:gridSpan w:val="2"/>
            <w:tcBorders/>
          </w:tcPr>
          <w:p>
            <w:pPr>
              <w:pStyle w:val="Normal"/>
              <w:jc w:val="center"/>
              <w:rPr>
                <w:rFonts w:ascii="Arial" w:hAnsi="Arial" w:eastAsia="Arial" w:cs="Arial"/>
                <w:color w:val="000000"/>
              </w:rPr>
            </w:pPr>
            <w:r>
              <w:rPr>
                <w:rFonts w:eastAsia="Arial" w:cs="Arial" w:ascii="Arial" w:hAnsi="Arial"/>
                <w:color w:val="000000"/>
              </w:rPr>
              <w:t>($3.13)</w:t>
            </w:r>
          </w:p>
        </w:tc>
        <w:tc>
          <w:tcPr>
            <w:tcW w:w="1620" w:type="dxa"/>
            <w:gridSpan w:val="2"/>
            <w:tcBorders/>
          </w:tcPr>
          <w:p>
            <w:pPr>
              <w:pStyle w:val="Normal"/>
              <w:jc w:val="center"/>
              <w:rPr>
                <w:rFonts w:ascii="Arial" w:hAnsi="Arial" w:eastAsia="Arial" w:cs="Arial"/>
                <w:color w:val="000000"/>
              </w:rPr>
            </w:pPr>
            <w:r>
              <w:rPr>
                <w:rFonts w:eastAsia="Arial" w:cs="Arial" w:ascii="Arial" w:hAnsi="Arial"/>
                <w:color w:val="000000"/>
              </w:rPr>
              <w:t>($3.15)</w:t>
            </w:r>
          </w:p>
        </w:tc>
        <w:tc>
          <w:tcPr>
            <w:tcW w:w="1711" w:type="dxa"/>
            <w:tcBorders/>
          </w:tcPr>
          <w:p>
            <w:pPr>
              <w:pStyle w:val="Normal"/>
              <w:jc w:val="center"/>
              <w:rPr>
                <w:rFonts w:ascii="Arial" w:hAnsi="Arial" w:eastAsia="Arial" w:cs="Arial"/>
                <w:color w:val="000000"/>
              </w:rPr>
            </w:pPr>
            <w:r>
              <w:rPr>
                <w:rFonts w:eastAsia="Arial" w:cs="Arial" w:ascii="Arial" w:hAnsi="Arial"/>
                <w:color w:val="000000"/>
              </w:rPr>
              <w:t>($3.44)</w:t>
            </w:r>
          </w:p>
        </w:tc>
      </w:tr>
      <w:tr>
        <w:trPr>
          <w:trHeight w:val="357" w:hRule="atLeast"/>
        </w:trPr>
        <w:tc>
          <w:tcPr>
            <w:tcW w:w="1182" w:type="dxa"/>
            <w:tcBorders/>
          </w:tcPr>
          <w:p>
            <w:pPr>
              <w:pStyle w:val="Normal"/>
              <w:jc w:val="end"/>
              <w:rPr>
                <w:rFonts w:ascii="Arial" w:hAnsi="Arial" w:eastAsia="Arial" w:cs="Arial"/>
                <w:b/>
                <w:bCs/>
                <w:color w:val="000000"/>
              </w:rPr>
            </w:pPr>
            <w:r>
              <w:rPr>
                <w:rFonts w:eastAsia="Arial" w:cs="Arial" w:ascii="Arial" w:hAnsi="Arial"/>
                <w:b/>
                <w:bCs/>
                <w:color w:val="000000"/>
              </w:rPr>
              <w:t>WTI</w:t>
            </w:r>
          </w:p>
        </w:tc>
        <w:tc>
          <w:tcPr>
            <w:tcW w:w="1152" w:type="dxa"/>
            <w:gridSpan w:val="2"/>
            <w:tcBorders/>
          </w:tcPr>
          <w:p>
            <w:pPr>
              <w:pStyle w:val="Normal"/>
              <w:jc w:val="center"/>
              <w:rPr>
                <w:rFonts w:ascii="Arial" w:hAnsi="Arial" w:eastAsia="Arial" w:cs="Arial"/>
                <w:color w:val="000000"/>
              </w:rPr>
            </w:pPr>
            <w:r>
              <w:rPr>
                <w:rFonts w:eastAsia="Arial" w:cs="Arial" w:ascii="Arial" w:hAnsi="Arial"/>
                <w:color w:val="000000"/>
              </w:rPr>
              <w:t>$0.28</w:t>
            </w:r>
          </w:p>
        </w:tc>
        <w:tc>
          <w:tcPr>
            <w:tcW w:w="1152" w:type="dxa"/>
            <w:gridSpan w:val="2"/>
            <w:tcBorders/>
          </w:tcPr>
          <w:p>
            <w:pPr>
              <w:pStyle w:val="Normal"/>
              <w:snapToGrid w:val="false"/>
              <w:jc w:val="center"/>
              <w:rPr>
                <w:rFonts w:ascii="Arial" w:hAnsi="Arial" w:eastAsia="Arial" w:cs="Arial"/>
                <w:color w:val="000000"/>
              </w:rPr>
            </w:pPr>
            <w:r>
              <w:rPr>
                <w:rFonts w:eastAsia="Arial" w:cs="Arial" w:ascii="Arial" w:hAnsi="Arial"/>
                <w:color w:val="000000"/>
              </w:rPr>
            </w:r>
          </w:p>
        </w:tc>
        <w:tc>
          <w:tcPr>
            <w:tcW w:w="1152" w:type="dxa"/>
            <w:tcBorders/>
          </w:tcPr>
          <w:p>
            <w:pPr>
              <w:pStyle w:val="Normal"/>
              <w:snapToGrid w:val="false"/>
              <w:jc w:val="center"/>
              <w:rPr>
                <w:rFonts w:ascii="Arial" w:hAnsi="Arial" w:eastAsia="Arial" w:cs="Arial"/>
                <w:color w:val="000000"/>
              </w:rPr>
            </w:pPr>
            <w:r>
              <w:rPr>
                <w:rFonts w:eastAsia="Arial" w:cs="Arial" w:ascii="Arial" w:hAnsi="Arial"/>
                <w:color w:val="000000"/>
              </w:rPr>
            </w:r>
          </w:p>
        </w:tc>
        <w:tc>
          <w:tcPr>
            <w:tcW w:w="1152" w:type="dxa"/>
            <w:gridSpan w:val="2"/>
            <w:tcBorders/>
          </w:tcPr>
          <w:p>
            <w:pPr>
              <w:pStyle w:val="Normal"/>
              <w:jc w:val="center"/>
              <w:rPr>
                <w:rFonts w:ascii="Arial" w:hAnsi="Arial" w:eastAsia="Arial" w:cs="Arial"/>
                <w:color w:val="000000"/>
              </w:rPr>
            </w:pPr>
            <w:r>
              <w:rPr>
                <w:rFonts w:eastAsia="Arial" w:cs="Arial" w:ascii="Arial" w:hAnsi="Arial"/>
                <w:color w:val="000000"/>
              </w:rPr>
              <w:t>$0.97</w:t>
            </w:r>
          </w:p>
        </w:tc>
        <w:tc>
          <w:tcPr>
            <w:tcW w:w="1152" w:type="dxa"/>
            <w:gridSpan w:val="2"/>
            <w:tcBorders/>
          </w:tcPr>
          <w:p>
            <w:pPr>
              <w:pStyle w:val="Normal"/>
              <w:snapToGrid w:val="false"/>
              <w:jc w:val="center"/>
              <w:rPr>
                <w:rFonts w:ascii="Arial" w:hAnsi="Arial" w:eastAsia="Arial" w:cs="Arial"/>
                <w:color w:val="000000"/>
              </w:rPr>
            </w:pPr>
            <w:r>
              <w:rPr>
                <w:rFonts w:eastAsia="Arial" w:cs="Arial" w:ascii="Arial" w:hAnsi="Arial"/>
                <w:color w:val="000000"/>
              </w:rPr>
            </w:r>
          </w:p>
        </w:tc>
        <w:tc>
          <w:tcPr>
            <w:tcW w:w="1152" w:type="dxa"/>
            <w:gridSpan w:val="2"/>
            <w:tcBorders/>
          </w:tcPr>
          <w:p>
            <w:pPr>
              <w:pStyle w:val="Normal"/>
              <w:snapToGrid w:val="false"/>
              <w:jc w:val="center"/>
              <w:rPr>
                <w:rFonts w:ascii="Arial" w:hAnsi="Arial" w:eastAsia="Arial" w:cs="Arial"/>
                <w:color w:val="000000"/>
              </w:rPr>
            </w:pPr>
            <w:r>
              <w:rPr>
                <w:rFonts w:eastAsia="Arial" w:cs="Arial" w:ascii="Arial" w:hAnsi="Arial"/>
                <w:color w:val="000000"/>
              </w:rPr>
            </w:r>
          </w:p>
        </w:tc>
        <w:tc>
          <w:tcPr>
            <w:tcW w:w="2827" w:type="dxa"/>
            <w:gridSpan w:val="2"/>
            <w:tcBorders/>
            <w:tcMar>
              <w:start w:w="0" w:type="dxa"/>
              <w:end w:w="0" w:type="dxa"/>
            </w:tcMar>
          </w:tcPr>
          <w:p>
            <w:pPr>
              <w:pStyle w:val="Normal"/>
              <w:snapToGrid w:val="false"/>
              <w:rPr>
                <w:rFonts w:ascii="Arial" w:hAnsi="Arial" w:eastAsia="Arial" w:cs="Arial"/>
                <w:color w:val="000000"/>
                <w:sz w:val="24"/>
                <w:szCs w:val="24"/>
              </w:rPr>
            </w:pPr>
            <w:r>
              <w:rPr>
                <w:rFonts w:eastAsia="Arial" w:cs="Arial" w:ascii="Arial" w:hAnsi="Arial"/>
                <w:color w:val="000000"/>
                <w:sz w:val="24"/>
                <w:szCs w:val="24"/>
              </w:rPr>
            </w:r>
          </w:p>
        </w:tc>
      </w:tr>
    </w:tbl>
    <w:p>
      <w:pPr>
        <w:pStyle w:val="Normal"/>
        <w:jc w:val="center"/>
        <w:rPr>
          <w:b/>
          <w:bCs/>
          <w:color w:val="0000FF"/>
          <w:sz w:val="24"/>
          <w:szCs w:val="24"/>
        </w:rPr>
      </w:pPr>
      <w:r>
        <w:rPr>
          <w:b/>
          <w:bCs/>
          <w:color w:val="0000FF"/>
          <w:sz w:val="24"/>
          <w:szCs w:val="24"/>
        </w:rPr>
      </w:r>
    </w:p>
    <w:p>
      <w:pPr>
        <w:pStyle w:val="Normal"/>
        <w:pBdr>
          <w:top w:val="single" w:sz="18" w:space="1" w:color="0000FF"/>
          <w:left w:val="single" w:sz="18" w:space="1" w:color="0000FF"/>
          <w:bottom w:val="single" w:sz="18" w:space="1" w:color="0000FF"/>
          <w:right w:val="single" w:sz="18" w:space="1" w:color="0000FF"/>
        </w:pBdr>
        <w:jc w:val="center"/>
        <w:rPr>
          <w:b/>
          <w:bCs/>
          <w:color w:val="0000FF"/>
          <w:sz w:val="24"/>
          <w:szCs w:val="24"/>
        </w:rPr>
      </w:pPr>
      <w:r>
        <w:rPr>
          <w:b/>
          <w:bCs/>
          <w:color w:val="0000FF"/>
          <w:sz w:val="24"/>
          <w:szCs w:val="24"/>
        </w:rPr>
        <w:t>Processing Agreement Margins</w:t>
      </w:r>
    </w:p>
    <w:p>
      <w:pPr>
        <w:sectPr>
          <w:type w:val="continuous"/>
          <w:pgSz w:w="12240" w:h="15840"/>
          <w:pgMar w:left="720" w:right="720" w:gutter="0" w:header="0" w:top="720" w:footer="965" w:bottom="1021"/>
          <w:formProt w:val="false"/>
          <w:textDirection w:val="lrTb"/>
        </w:sectPr>
      </w:pPr>
    </w:p>
    <w:p>
      <w:pPr>
        <w:pStyle w:val="Normal"/>
        <w:jc w:val="center"/>
        <w:rPr>
          <w:b/>
          <w:bCs/>
          <w:color w:val="0000FF"/>
          <w:sz w:val="24"/>
          <w:szCs w:val="24"/>
        </w:rPr>
      </w:pPr>
      <w:r>
        <w:rPr>
          <w:b/>
          <w:bCs/>
          <w:color w:val="0000FF"/>
          <w:sz w:val="24"/>
          <w:szCs w:val="24"/>
        </w:rPr>
      </w:r>
    </w:p>
    <w:p>
      <w:pPr>
        <w:pStyle w:val="Normal"/>
        <w:jc w:val="center"/>
        <w:rPr>
          <w:b/>
          <w:bCs/>
          <w:color w:val="0000FF"/>
          <w:sz w:val="24"/>
          <w:szCs w:val="24"/>
        </w:rPr>
      </w:pPr>
      <w:r>
        <w:rPr>
          <w:b/>
          <w:bCs/>
          <w:color w:val="0000FF"/>
          <w:sz w:val="24"/>
          <w:szCs w:val="24"/>
        </w:rPr>
      </w:r>
    </w:p>
    <w:p>
      <w:pPr>
        <w:sectPr>
          <w:type w:val="continuous"/>
          <w:pgSz w:w="12240" w:h="15840"/>
          <w:pgMar w:left="720" w:right="720" w:gutter="0" w:header="0" w:top="720" w:footer="965" w:bottom="1021"/>
          <w:cols w:num="2" w:space="144" w:equalWidth="true" w:sep="false"/>
          <w:formProt w:val="false"/>
          <w:textDirection w:val="lrTb"/>
        </w:sectPr>
      </w:pPr>
    </w:p>
    <w:p>
      <w:pPr>
        <w:pStyle w:val="Normal"/>
        <w:jc w:val="center"/>
        <w:rPr>
          <w:b/>
          <w:bCs/>
          <w:color w:val="0000FF"/>
          <w:sz w:val="24"/>
          <w:szCs w:val="24"/>
        </w:rPr>
      </w:pPr>
      <w:r>
        <w:rPr>
          <w:b/>
          <w:bCs/>
          <w:color w:val="0000FF"/>
          <w:sz w:val="24"/>
          <w:szCs w:val="24"/>
        </w:rPr>
        <w:drawing>
          <wp:inline distT="0" distB="0" distL="0" distR="0">
            <wp:extent cx="3379470" cy="2303145"/>
            <wp:effectExtent l="0" t="0" r="0" b="0"/>
            <wp:docPr id="12"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title=""/>
                    <pic:cNvPicPr>
                      <a:picLocks noChangeAspect="1" noChangeArrowheads="1"/>
                    </pic:cNvPicPr>
                  </pic:nvPicPr>
                  <pic:blipFill>
                    <a:blip r:embed="rId15"/>
                    <a:stretch>
                      <a:fillRect/>
                    </a:stretch>
                  </pic:blipFill>
                  <pic:spPr bwMode="auto">
                    <a:xfrm>
                      <a:off x="0" y="0"/>
                      <a:ext cx="3379470" cy="2303145"/>
                    </a:xfrm>
                    <a:prstGeom prst="rect">
                      <a:avLst/>
                    </a:prstGeom>
                    <a:noFill/>
                  </pic:spPr>
                </pic:pic>
              </a:graphicData>
            </a:graphic>
          </wp:inline>
        </w:drawing>
      </w:r>
    </w:p>
    <w:p>
      <w:pPr>
        <w:pStyle w:val="Normal"/>
        <w:jc w:val="center"/>
        <w:rPr>
          <w:b/>
          <w:bCs/>
          <w:color w:val="0000FF"/>
          <w:sz w:val="24"/>
          <w:szCs w:val="24"/>
        </w:rPr>
      </w:pPr>
      <w:r>
        <w:rPr>
          <w:b/>
          <w:bCs/>
          <w:color w:val="0000FF"/>
          <w:sz w:val="24"/>
          <w:szCs w:val="24"/>
        </w:rPr>
      </w:r>
    </w:p>
    <w:p>
      <w:pPr>
        <w:pStyle w:val="Normal"/>
        <w:jc w:val="center"/>
        <w:rPr>
          <w:b/>
          <w:bCs/>
          <w:color w:val="0000FF"/>
          <w:sz w:val="24"/>
          <w:szCs w:val="24"/>
        </w:rPr>
      </w:pPr>
      <w:r>
        <w:rPr>
          <w:b/>
          <w:bCs/>
          <w:color w:val="0000FF"/>
          <w:sz w:val="24"/>
          <w:szCs w:val="24"/>
        </w:rPr>
        <w:drawing>
          <wp:inline distT="0" distB="0" distL="0" distR="0">
            <wp:extent cx="3371215" cy="2310130"/>
            <wp:effectExtent l="0" t="0" r="0" b="0"/>
            <wp:docPr id="13"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title=""/>
                    <pic:cNvPicPr>
                      <a:picLocks noChangeAspect="1" noChangeArrowheads="1"/>
                    </pic:cNvPicPr>
                  </pic:nvPicPr>
                  <pic:blipFill>
                    <a:blip r:embed="rId16"/>
                    <a:stretch>
                      <a:fillRect/>
                    </a:stretch>
                  </pic:blipFill>
                  <pic:spPr bwMode="auto">
                    <a:xfrm>
                      <a:off x="0" y="0"/>
                      <a:ext cx="3371215" cy="2310130"/>
                    </a:xfrm>
                    <a:prstGeom prst="rect">
                      <a:avLst/>
                    </a:prstGeom>
                    <a:noFill/>
                  </pic:spPr>
                </pic:pic>
              </a:graphicData>
            </a:graphic>
          </wp:inline>
        </w:drawing>
      </w:r>
    </w:p>
    <w:p>
      <w:pPr>
        <w:sectPr>
          <w:type w:val="continuous"/>
          <w:pgSz w:w="12240" w:h="15840"/>
          <w:pgMar w:left="720" w:right="720" w:gutter="0" w:header="0" w:top="720" w:footer="965" w:bottom="1021"/>
          <w:cols w:num="2" w:space="144" w:equalWidth="true" w:sep="false"/>
          <w:formProt w:val="false"/>
          <w:textDirection w:val="lrTb"/>
        </w:sectPr>
      </w:pPr>
    </w:p>
    <w:p>
      <w:pPr>
        <w:pStyle w:val="Normal"/>
        <w:jc w:val="both"/>
        <w:rPr>
          <w:b/>
          <w:bCs/>
          <w:color w:val="0000FF"/>
          <w:sz w:val="24"/>
          <w:szCs w:val="24"/>
        </w:rPr>
      </w:pPr>
      <w:r>
        <w:rPr>
          <w:b/>
          <w:bCs/>
          <w:color w:val="0000FF"/>
          <w:sz w:val="24"/>
          <w:szCs w:val="24"/>
        </w:rPr>
      </w:r>
    </w:p>
    <w:p>
      <w:pPr>
        <w:pStyle w:val="Normal"/>
        <w:rPr>
          <w:b/>
          <w:bCs/>
          <w:color w:val="0000FF"/>
          <w:sz w:val="24"/>
          <w:szCs w:val="24"/>
        </w:rPr>
      </w:pPr>
      <w:r>
        <w:rPr>
          <w:b/>
          <w:bCs/>
          <w:color w:val="0000FF"/>
          <w:sz w:val="24"/>
          <w:szCs w:val="24"/>
        </w:rPr>
      </w:r>
    </w:p>
    <w:sectPr>
      <w:type w:val="continuous"/>
      <w:pgSz w:w="12240" w:h="15840"/>
      <w:pgMar w:left="720" w:right="720" w:gutter="0" w:header="0" w:top="720" w:footer="965" w:bottom="1021"/>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01"/>
    <w:family w:val="roman"/>
    <w:pitch w:val="variable"/>
  </w:font>
  <w:font w:name="Liberation Sans">
    <w:altName w:val="Arial"/>
    <w:charset w:val="01" w:characterSet="utf-8"/>
    <w:family w:val="swiss"/>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top w:val="single" w:sz="6" w:space="1" w:color="000000"/>
        <w:left w:val="single" w:sz="6" w:space="1" w:color="000000"/>
        <w:bottom w:val="single" w:sz="6" w:space="1" w:color="000000"/>
        <w:right w:val="single" w:sz="6" w:space="1" w:color="000000"/>
      </w:pBdr>
      <w:rPr>
        <w:sz w:val="16"/>
        <w:szCs w:val="16"/>
      </w:rPr>
    </w:pPr>
    <w:r>
      <w:rPr>
        <w:sz w:val="16"/>
        <w:szCs w:val="16"/>
      </w:rPr>
      <w:t>Copyright 1997 Applied Trading Systems, Inc., 5599 San Felipe, Houston, TX 77056 Tel: 713 961 3538; Fax: 713 961 0038</w:t>
      <w:tab/>
      <w:t xml:space="preserve">                   </w:t>
      <w:tab/>
      <w:t xml:space="preserve">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Pr>
        <w:rStyle w:val="PageNumber"/>
        <w:sz w:val="16"/>
        <w:szCs w:val="16"/>
      </w:rPr>
      <w:t>11</w:t>
    </w:r>
    <w:r>
      <w:rPr>
        <w:rStyle w:val="PageNumber"/>
        <w:sz w:val="16"/>
        <w:szCs w:val="16"/>
      </w:rPr>
      <w:fldChar w:fldCharType="end"/>
    </w:r>
  </w:p>
  <w:p>
    <w:pPr>
      <w:pStyle w:val="Footer"/>
      <w:pBdr>
        <w:top w:val="single" w:sz="6" w:space="1" w:color="000000"/>
        <w:left w:val="single" w:sz="6" w:space="1" w:color="000000"/>
        <w:bottom w:val="single" w:sz="6" w:space="1" w:color="000000"/>
        <w:right w:val="single" w:sz="6" w:space="1" w:color="000000"/>
      </w:pBdr>
      <w:rPr>
        <w:sz w:val="16"/>
        <w:szCs w:val="16"/>
      </w:rPr>
    </w:pPr>
    <w:r>
      <w:rPr>
        <w:sz w:val="16"/>
        <w:szCs w:val="16"/>
      </w:rPr>
      <w:t>Reproduction permitted for  use in local  office of subscribers.  Distribution to others prohibited without written permission from ATS.</w:t>
      <w:tab/>
      <w:t xml:space="preserve">       </w:t>
    </w:r>
  </w:p>
  <w:p>
    <w:pPr>
      <w:pStyle w:val="Footer"/>
      <w:rPr>
        <w:sz w:val="16"/>
        <w:szCs w:val="16"/>
      </w:rPr>
    </w:pPr>
    <w:r>
      <w:rPr>
        <w:sz w:val="16"/>
        <w:szCs w:val="16"/>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top w:val="single" w:sz="6" w:space="1" w:color="000000"/>
        <w:left w:val="single" w:sz="6" w:space="1" w:color="000000"/>
        <w:bottom w:val="single" w:sz="6" w:space="1" w:color="000000"/>
        <w:right w:val="single" w:sz="6" w:space="1" w:color="000000"/>
      </w:pBdr>
      <w:jc w:val="center"/>
      <w:rPr/>
    </w:pPr>
    <w:r>
      <w:rPr>
        <w:sz w:val="16"/>
        <w:szCs w:val="16"/>
      </w:rPr>
      <w:t xml:space="preserve">Copyright </w:t>
    </w:r>
    <w:r>
      <w:rPr>
        <w:rFonts w:eastAsia="Symbol" w:cs="Symbol" w:ascii="Symbol" w:hAnsi="Symbol"/>
        <w:sz w:val="16"/>
        <w:szCs w:val="16"/>
      </w:rPr>
      <w:sym w:font="Symbol" w:char="e3"/>
    </w:r>
    <w:r>
      <w:rPr>
        <w:sz w:val="16"/>
        <w:szCs w:val="16"/>
      </w:rPr>
      <w:t xml:space="preserve"> 2000, Applied Trading Systems, Inc., 9800 Northwest Frwy., Brookhollow 2 Bldg. Suite 404,  Houston, TX 77092</w:t>
    </w:r>
  </w:p>
  <w:p>
    <w:pPr>
      <w:pStyle w:val="Header"/>
      <w:pBdr>
        <w:top w:val="single" w:sz="6" w:space="1" w:color="000000"/>
        <w:left w:val="single" w:sz="6" w:space="1" w:color="000000"/>
        <w:bottom w:val="single" w:sz="6" w:space="1" w:color="000000"/>
        <w:right w:val="single" w:sz="6" w:space="1" w:color="000000"/>
      </w:pBdr>
      <w:jc w:val="center"/>
      <w:rPr>
        <w:sz w:val="16"/>
        <w:szCs w:val="16"/>
      </w:rPr>
    </w:pPr>
    <w:r>
      <w:rPr>
        <w:sz w:val="16"/>
        <w:szCs w:val="16"/>
      </w:rPr>
      <w:t xml:space="preserve"> </w:t>
    </w:r>
    <w:r>
      <w:rPr>
        <w:sz w:val="16"/>
        <w:szCs w:val="16"/>
      </w:rPr>
      <w:t>Tel: 713 683 8384; Fax: 713 683 8769</w:t>
      <w:tab/>
      <w:t xml:space="preserve">                   </w:t>
    </w:r>
  </w:p>
  <w:p>
    <w:pPr>
      <w:pStyle w:val="Footer"/>
      <w:pBdr>
        <w:top w:val="single" w:sz="6" w:space="1" w:color="000000"/>
        <w:left w:val="single" w:sz="6" w:space="1" w:color="000000"/>
        <w:bottom w:val="single" w:sz="6" w:space="1" w:color="000000"/>
        <w:right w:val="single" w:sz="6" w:space="1" w:color="000000"/>
      </w:pBdr>
      <w:rPr>
        <w:sz w:val="16"/>
        <w:szCs w:val="16"/>
      </w:rPr>
    </w:pPr>
    <w:r>
      <w:rPr>
        <w:sz w:val="16"/>
        <w:szCs w:val="16"/>
      </w:rPr>
      <w:t>Reproduction permitted for  use in local  office of subscribers.  Distribution to others prohibited without written permission from ATS.</w:t>
      <w:tab/>
      <w:t xml:space="preserve">       </w:t>
      <w:tab/>
    </w: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p>
    <w:pPr>
      <w:pStyle w:val="Footer"/>
      <w:rPr>
        <w:sz w:val="16"/>
        <w:szCs w:val="16"/>
      </w:rPr>
    </w:pPr>
    <w:r>
      <w:rPr>
        <w:sz w:val="16"/>
        <w:szCs w:val="16"/>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75"/>
  <w:defaultTabStop w:val="720"/>
  <w:autoHyphenation w:val="true"/>
  <w:hyphenationZone w:val="0"/>
  <w:compat>
    <w:doNotExpandShiftReturn/>
    <w:usePrinterMetric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jc w:val="both"/>
      <w:outlineLvl w:val="0"/>
    </w:pPr>
    <w:rPr>
      <w:b/>
      <w:bCs/>
      <w:color w:val="000000"/>
      <w:sz w:val="22"/>
      <w:szCs w:val="22"/>
    </w:rPr>
  </w:style>
  <w:style w:type="character" w:styleId="DefaultParagraphFont">
    <w:name w:val="Default Paragraph Font"/>
    <w:qFormat/>
    <w:rPr/>
  </w:style>
  <w:style w:type="character" w:styleId="PageNumber">
    <w:name w:val="page number"/>
    <w:basedOn w:val="DefaultParagraphFont"/>
    <w:rPr/>
  </w:style>
  <w:style w:type="character" w:styleId="AnnotationReference">
    <w:name w:val="Annotation Reference"/>
    <w:basedOn w:val="DefaultParagraphFont"/>
    <w:qFormat/>
    <w:rPr>
      <w:sz w:val="16"/>
      <w:szCs w:val="16"/>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before="0" w:after="120"/>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AnnotationText">
    <w:name w:val="Annotation Text"/>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image" Target="media/image5.emf"/><Relationship Id="rId9" Type="http://schemas.openxmlformats.org/officeDocument/2006/relationships/image" Target="media/image6.emf"/><Relationship Id="rId10" Type="http://schemas.openxmlformats.org/officeDocument/2006/relationships/image" Target="media/image7.emf"/><Relationship Id="rId11" Type="http://schemas.openxmlformats.org/officeDocument/2006/relationships/image" Target="media/image8.emf"/><Relationship Id="rId12" Type="http://schemas.openxmlformats.org/officeDocument/2006/relationships/image" Target="media/image9.emf"/><Relationship Id="rId13" Type="http://schemas.openxmlformats.org/officeDocument/2006/relationships/image" Target="media/image10.emf"/><Relationship Id="rId14" Type="http://schemas.openxmlformats.org/officeDocument/2006/relationships/image" Target="media/image11.emf"/><Relationship Id="rId15" Type="http://schemas.openxmlformats.org/officeDocument/2006/relationships/image" Target="media/image12.emf"/><Relationship Id="rId16" Type="http://schemas.openxmlformats.org/officeDocument/2006/relationships/image" Target="media/image13.emf"/><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7</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2000-11-08T22:09:00Z</dcterms:created>
  <dc:creator>System Administration</dc:creator>
  <dc:description/>
  <dc:language>en-CA</dc:language>
  <cp:lastModifiedBy>System Administration</cp:lastModifiedBy>
  <dcterms:modified xsi:type="dcterms:W3CDTF">2000-11-08T22:15:00Z</dcterms:modified>
  <cp:revision>6</cp:revision>
  <dc:subject/>
  <dc:title>US Markets</dc:title>
</cp:coreProperties>
</file>