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rFonts w:ascii="Copperplate Gothic Bold;Univers Extended" w:hAnsi="Copperplate Gothic Bold;Univers Extended" w:cs="Copperplate Gothic Bold;Univers Extended"/>
          <w:sz w:val="40"/>
        </w:rPr>
      </w:pPr>
      <w:r>
        <w:rPr>
          <w:rFonts w:cs="Copperplate Gothic Bold;Univers Extended" w:ascii="Copperplate Gothic Bold;Univers Extended" w:hAnsi="Copperplate Gothic Bold;Univers Extended"/>
          <w:sz w:val="40"/>
        </w:rPr>
        <w:t>Hunter &amp; Hunter</w:t>
      </w:r>
    </w:p>
    <w:p>
      <w:pPr>
        <w:pStyle w:val="BodyText"/>
        <w:tabs>
          <w:tab w:val="clear" w:pos="720"/>
          <w:tab w:val="left" w:pos="3870" w:leader="none"/>
        </w:tabs>
        <w:spacing w:lineRule="exact" w:line="200"/>
        <w:rPr>
          <w:rFonts w:ascii="Gill Sans" w:hAnsi="Gill Sans" w:cs="Gill Sans"/>
        </w:rPr>
      </w:pPr>
      <w:r>
        <w:rPr>
          <w:rFonts w:cs="Gill Sans" w:ascii="Gill Sans" w:hAnsi="Gill Sans"/>
          <w:spacing w:val="50"/>
          <w:w w:val="260"/>
        </w:rPr>
        <w:t>—</w:t>
      </w:r>
      <w:r>
        <w:rPr>
          <w:rFonts w:eastAsia="Gill Sans" w:cs="Gill Sans" w:ascii="Gill Sans" w:hAnsi="Gill Sans"/>
        </w:rPr>
        <w:t xml:space="preserve"> </w:t>
      </w:r>
      <w:r>
        <w:rPr>
          <w:rFonts w:cs="Gill Sans" w:ascii="Gill Sans" w:hAnsi="Gill Sans"/>
          <w:spacing w:val="50"/>
          <w:sz w:val="22"/>
        </w:rPr>
        <w:t>Attorneys-at-Law</w:t>
      </w:r>
      <w:r>
        <w:rPr>
          <w:rFonts w:cs="Gill Sans" w:ascii="Gill Sans" w:hAnsi="Gill Sans"/>
        </w:rPr>
        <w:t xml:space="preserve"> </w:t>
      </w:r>
      <w:r>
        <w:rPr>
          <w:rFonts w:cs="Gill Sans" w:ascii="Gill Sans" w:hAnsi="Gill Sans"/>
          <w:spacing w:val="50"/>
          <w:w w:val="260"/>
        </w:rPr>
        <w:t>—</w:t>
      </w:r>
    </w:p>
    <w:tbl>
      <w:tblPr>
        <w:tblW w:w="9108" w:type="dxa"/>
        <w:jc w:val="start"/>
        <w:tblInd w:w="0" w:type="dxa"/>
        <w:tblLayout w:type="fixed"/>
        <w:tblCellMar>
          <w:top w:w="0" w:type="dxa"/>
          <w:start w:w="108" w:type="dxa"/>
          <w:bottom w:w="0" w:type="dxa"/>
          <w:end w:w="108" w:type="dxa"/>
        </w:tblCellMar>
      </w:tblPr>
      <w:tblGrid>
        <w:gridCol w:w="4428"/>
        <w:gridCol w:w="4680"/>
      </w:tblGrid>
      <w:tr>
        <w:trPr/>
        <w:tc>
          <w:tcPr>
            <w:tcW w:w="4428" w:type="dxa"/>
            <w:tcBorders/>
          </w:tcPr>
          <w:p>
            <w:pPr>
              <w:pStyle w:val="letterheadaddress"/>
              <w:rPr/>
            </w:pPr>
            <w:r>
              <w:rPr/>
              <w:t>The Huntlaw Building</w:t>
            </w:r>
          </w:p>
          <w:p>
            <w:pPr>
              <w:pStyle w:val="letterheadaddress"/>
              <w:rPr/>
            </w:pPr>
            <w:r>
              <w:rPr/>
              <w:t xml:space="preserve">75 Fort Street </w:t>
              <w:br/>
              <w:t>P.O. Box 190 GT</w:t>
              <w:br/>
              <w:t>Grand Cayman</w:t>
              <w:br/>
            </w:r>
            <w:r>
              <w:rPr>
                <w:lang w:val="en-US" w:eastAsia="en-US"/>
              </w:rPr>
              <w:t>C</w:t>
            </w:r>
            <w:r>
              <w:rPr/>
              <w:t>ayman Islands</w:t>
            </w:r>
          </w:p>
        </w:tc>
        <w:tc>
          <w:tcPr>
            <w:tcW w:w="4680" w:type="dxa"/>
            <w:tcBorders/>
          </w:tcPr>
          <w:p>
            <w:pPr>
              <w:pStyle w:val="letterheadaddress"/>
              <w:tabs>
                <w:tab w:val="clear" w:pos="720"/>
                <w:tab w:val="left" w:pos="1062" w:leader="none"/>
                <w:tab w:val="right" w:pos="4302" w:leader="none"/>
              </w:tabs>
              <w:rPr/>
            </w:pPr>
            <w:r>
              <w:rPr/>
              <w:tab/>
            </w:r>
          </w:p>
          <w:p>
            <w:pPr>
              <w:pStyle w:val="letterheadaddress"/>
              <w:tabs>
                <w:tab w:val="clear" w:pos="720"/>
                <w:tab w:val="left" w:pos="1062" w:leader="none"/>
                <w:tab w:val="right" w:pos="4212" w:leader="none"/>
              </w:tabs>
              <w:rPr/>
            </w:pPr>
            <w:r>
              <w:rPr/>
              <w:tab/>
              <w:t xml:space="preserve">Telephone:  </w:t>
              <w:tab/>
              <w:t>(345) 949 4900</w:t>
              <w:br/>
              <w:tab/>
              <w:t>Fax:</w:t>
              <w:tab/>
              <w:t>(345) 949 7876</w:t>
              <w:br/>
              <w:tab/>
              <w:t>E-mail:</w:t>
              <w:tab/>
              <w:t>Commercial</w:t>
            </w:r>
            <w:r>
              <w:rPr>
                <w:sz w:val="12"/>
              </w:rPr>
              <w:t>@</w:t>
            </w:r>
            <w:r>
              <w:rPr/>
              <w:t>huntlaw.com.ky</w:t>
              <w:br/>
              <w:tab/>
              <w:t>Internet:</w:t>
              <w:tab/>
              <w:t>www.hunterandhunter.ky</w:t>
            </w:r>
          </w:p>
        </w:tc>
      </w:tr>
    </w:tbl>
    <w:p>
      <w:pPr>
        <w:pStyle w:val="Address"/>
        <w:rPr/>
      </w:pPr>
      <w:r>
        <w:rPr/>
      </w:r>
    </w:p>
    <w:p>
      <w:pPr>
        <w:pStyle w:val="Heading2"/>
        <w:tabs>
          <w:tab w:val="clear" w:pos="720"/>
          <w:tab w:val="left" w:pos="5490" w:leader="none"/>
        </w:tabs>
        <w:spacing w:lineRule="auto" w:line="240" w:before="0" w:after="0"/>
        <w:ind w:hanging="0" w:start="0"/>
        <w:rPr>
          <w:u w:val="single"/>
        </w:rPr>
      </w:pPr>
      <w:r>
        <w:rPr>
          <w:u w:val="single"/>
        </w:rPr>
        <w:fldChar w:fldCharType="begin"/>
      </w:r>
      <w:r>
        <w:rPr>
          <w:u w:val="single"/>
        </w:rPr>
        <w:instrText xml:space="preserve"> FILLIN "Enter special designation for letter (e.g. Privleged and Confidential, Without Prejudice)"</w:instrText>
      </w:r>
      <w:r>
        <w:rPr>
          <w:u w:val="single"/>
        </w:rPr>
        <w:fldChar w:fldCharType="separate"/>
      </w:r>
      <w:r>
        <w:rPr>
          <w:u w:val="single"/>
        </w:rPr>
      </w:r>
      <w:r>
        <w:rPr>
          <w:u w:val="single"/>
        </w:rPr>
        <w:fldChar w:fldCharType="end"/>
      </w:r>
    </w:p>
    <w:p>
      <w:pPr>
        <w:pStyle w:val="Heading1"/>
        <w:ind w:hanging="0" w:start="0"/>
        <w:rPr/>
      </w:pPr>
      <w:r>
        <w:rPr/>
        <w:t xml:space="preserve">CAYMAN Anti-Money Laundering PROCEDURES and Exchange of Information ON TAX INVESTIGATIONS </w:t>
      </w:r>
    </w:p>
    <w:p>
      <w:pPr>
        <w:pStyle w:val="Normal"/>
        <w:rPr/>
      </w:pPr>
      <w:r>
        <w:rPr/>
      </w:r>
    </w:p>
    <w:p>
      <w:pPr>
        <w:pStyle w:val="BodyText"/>
        <w:rPr/>
      </w:pPr>
      <w:r>
        <w:rPr/>
        <w:t>The purpose of this Memorandum is to keep clients of Hunter &amp; Hunter and Huntlaw Corporate Services Ltd. informed of developments in anti-money laundering laws and regulations in the Cayman Islands, proposed exchange of information arrangements on tax investigations and related matters.  These developments arise from the Organisation for Economic Cooperation and Development (“OECD”) Report on Progress in Identifying and Eliminating Harmful Tax Practices approved on 16</w:t>
      </w:r>
      <w:r>
        <w:rPr>
          <w:vertAlign w:val="superscript"/>
        </w:rPr>
        <w:t>th</w:t>
      </w:r>
      <w:r>
        <w:rPr/>
        <w:t xml:space="preserve"> June, 2000 and the Report dated 22</w:t>
      </w:r>
      <w:r>
        <w:rPr>
          <w:vertAlign w:val="superscript"/>
        </w:rPr>
        <w:t>nd</w:t>
      </w:r>
      <w:r>
        <w:rPr/>
        <w:t xml:space="preserve"> June, 2000 of the Financial Action Task Force on Money Laundering (“FATF”).</w:t>
      </w:r>
    </w:p>
    <w:p>
      <w:pPr>
        <w:pStyle w:val="BodyText"/>
        <w:rPr/>
      </w:pPr>
      <w:r>
        <w:rPr/>
        <w:t xml:space="preserve">Most clients will be aware of the stringent anti-money laundering laws and procedures that have been in place in the Cayman Islands for several years.  The Proceeds of Criminal Conduct Law (“PCCL”), passed in 1996, extended the existing criminal offence of money laundering in relation to narcotics to include a broader range of serious crimes excluding tax or revenue collection related crimes.  The PCCL offence of money laundering covered persons who were involved in or assisted another in retaining the benefit of criminal conduct </w:t>
      </w:r>
      <w:r>
        <w:rPr>
          <w:u w:val="single"/>
        </w:rPr>
        <w:t xml:space="preserve">knowing or suspecting </w:t>
      </w:r>
      <w:r>
        <w:rPr/>
        <w:t>that such person is or has been engaged in, or benefited from, criminal conduct.  It is a defence under the PCCL to this crime of money laundering if the person (such as a lawyer or other service provider) involved in or assisting in the retention of the benefit of criminal conduct has made a report to the Cayman Reporting Authority of their knowledge or suspicion of the offence of money laundering.  The Reporting Authority consists of designated police officers.</w:t>
      </w:r>
    </w:p>
    <w:p>
      <w:pPr>
        <w:pStyle w:val="BodyText"/>
        <w:rPr/>
      </w:pPr>
      <w:r>
        <w:rPr/>
        <w:t>A Code of Conduct was produced earlier this year to assist service providers in the Cayman Islands such as bankers, lawyers, accountants and company managers in establishing due diligence compliance procedures so as to satisfy “know your client” rules and identify the previous and proposed business activities of their clients.</w:t>
      </w:r>
    </w:p>
    <w:p>
      <w:pPr>
        <w:pStyle w:val="BodyText"/>
        <w:rPr>
          <w:b/>
        </w:rPr>
      </w:pPr>
      <w:r>
        <w:rPr>
          <w:b/>
        </w:rPr>
        <w:t>FATF - Money Laundering</w:t>
      </w:r>
    </w:p>
    <w:p>
      <w:pPr>
        <w:pStyle w:val="BodyText"/>
        <w:rPr/>
      </w:pPr>
      <w:r>
        <w:rPr/>
        <w:t>The recent FATF report on Money Laundering listed the Cayman Islands as one of the jurisdictions which did not meet certain of the criteria established by the FATF as the international standard for effective anti-money laundering measures.  The basis on which the Cayman Islands were said not to satisfy these criteria can perhaps be described as technical deficiencies in our anti-money laundering procedures. As a result of the FATF listing, the United States Department of Treasury issued an Advisory on 11</w:t>
      </w:r>
      <w:r>
        <w:rPr>
          <w:vertAlign w:val="superscript"/>
        </w:rPr>
        <w:t>th</w:t>
      </w:r>
      <w:r>
        <w:rPr/>
        <w:t xml:space="preserve"> July, 2000 referring to deficiencies in the counter money laundering systems of the Cayman Islands and urging US financial institutions to apply enhanced scrutiny to transactions involving the FATF listed nations including the Cayman Islands. This US Advisory acknowledged, however, that the Cayman Islands has criminalised money laundering for all serious crimes and confirmed that the record of cooperation of the Cayman Islands with criminal law enforcement authorities in the United States is excellent. As a result of negotiations with the United States Government, the following changes to the anti-money laundering regime in the Cayman Islands have been or will shortly be implemented which, it is hoped, will result in the Cayman Islands being removed from the FATF list of non-cooperating jurisdictions and in the US Advisory being withdrawn:-</w:t>
      </w:r>
    </w:p>
    <w:p>
      <w:pPr>
        <w:pStyle w:val="BodyText"/>
        <w:rPr/>
      </w:pPr>
      <w:r>
        <w:rPr/>
        <w:t>1.</w:t>
        <w:tab/>
      </w:r>
      <w:r>
        <w:rPr>
          <w:u w:val="single"/>
        </w:rPr>
        <w:t>New Offence Not to Report Suspicious Transactions</w:t>
      </w:r>
    </w:p>
    <w:p>
      <w:pPr>
        <w:pStyle w:val="BodyText"/>
        <w:ind w:start="720" w:end="0"/>
        <w:rPr/>
      </w:pPr>
      <w:r>
        <w:rPr/>
        <w:t>The PCCL has been amended to provide for Regulations prescribing measures that must be taken to prevent the use of the financial system for the purposes of money-laundering and to introduce a new criminal offence of failure to report to the Reporting Authority knowledge or suspicion of money laundering.  Under the existing PCCL, as mentioned above, it was a defence to the criminal offence of money laundering if the knowledge or suspicion of money laundering had been reported to the Reporting Authority.  It is now a criminal offence not to have reported such knowledge or suspicion.</w:t>
      </w:r>
    </w:p>
    <w:p>
      <w:pPr>
        <w:pStyle w:val="BodyText"/>
        <w:rPr/>
      </w:pPr>
      <w:r>
        <w:rPr/>
        <w:t>2.</w:t>
        <w:tab/>
      </w:r>
      <w:r>
        <w:rPr>
          <w:u w:val="single"/>
        </w:rPr>
        <w:t>Money Laundering Regulations</w:t>
      </w:r>
    </w:p>
    <w:p>
      <w:pPr>
        <w:pStyle w:val="BodyText"/>
        <w:ind w:start="720" w:end="0"/>
        <w:rPr/>
      </w:pPr>
      <w:r>
        <w:rPr/>
        <w:t>New Money Laundering Regulations pursuant to the PCCL have been passed and come into effect on 1</w:t>
      </w:r>
      <w:r>
        <w:rPr>
          <w:vertAlign w:val="superscript"/>
        </w:rPr>
        <w:t>st</w:t>
      </w:r>
      <w:r>
        <w:rPr/>
        <w:t xml:space="preserve"> September, 2000 which require persons carrying out “relevant financial business” in the Cayman Islands to have in place procedures for the production of satisfactory evidence of identity of clients. Such evidence must be maintained for five years. Relevant service providers must have internal reporting procedures and training must be provided to staff in respect of such identification and reporting procedures. Relevant financial business includes banking, trust business, insurance, mutual funds, investment management, real estate services and company management involving service providers acting as directors or signing on bank accounts of managed companies. One material effect of these new Regulations is that, where we are asked to incorporate and manage a company where we are to provide directors or sign on the bank account, we will not be able in most circumstances to incorporate the company until we have satisfied our due diligence procedures. The speed with which Cayman companies can be incorporated in these circumstances will be affected. </w:t>
      </w:r>
    </w:p>
    <w:p>
      <w:pPr>
        <w:pStyle w:val="BodyText"/>
        <w:rPr/>
      </w:pPr>
      <w:r>
        <w:rPr/>
        <w:t>3.</w:t>
        <w:tab/>
      </w:r>
      <w:r>
        <w:rPr>
          <w:u w:val="single"/>
        </w:rPr>
        <w:t>Monetary Authority Law Amendments</w:t>
      </w:r>
    </w:p>
    <w:p>
      <w:pPr>
        <w:pStyle w:val="BodyText"/>
        <w:ind w:start="720" w:end="0"/>
        <w:rPr/>
      </w:pPr>
      <w:r>
        <w:rPr/>
        <w:t xml:space="preserve">The Monetary Authority Law has been amended to give the Monetary Authority the power to require Cayman financial service providers and others to produce, for example, information about their clients without a court order.  Similarly, where the Monetary Authority is satisfied that assistance should be given to an overseas regulatory authority, the Monetary Authority may require Cayman financial services providers and others to provide requested information about their clients and this information can then be passed on by the Monetary Authority to the overseas regulatory authority, subject to certain safeguards.  These safeguards include the Monetary Authority taking into account the dual criminality test (which will exclude provision of this information, for example to an overseas tax authority) and the Monetary Authority can require, for example, undertakings or other assurances, for example, that the information will not be used for proceedings other than those in respect of which the overseas regulatory authority has requested the information from the Monetary Authority.   </w:t>
      </w:r>
    </w:p>
    <w:p>
      <w:pPr>
        <w:pStyle w:val="BodyText"/>
        <w:rPr/>
      </w:pPr>
      <w:r>
        <w:rPr/>
        <w:t>4.</w:t>
        <w:tab/>
      </w:r>
      <w:r>
        <w:rPr>
          <w:u w:val="single"/>
        </w:rPr>
        <w:t>Enhanced Monetary Authority Supervision</w:t>
      </w:r>
    </w:p>
    <w:p>
      <w:pPr>
        <w:pStyle w:val="BodyText"/>
        <w:ind w:start="720" w:end="0"/>
        <w:rPr/>
      </w:pPr>
      <w:r>
        <w:rPr/>
        <w:t>Because the FATF concluded that the Monetary Authority places too much reliance on home country supervision, for example, by Central Banks or equivalent regulatory organisations in regulating parent banks with Cayman Islands subsidiaries or branches, the Monetary Authority has committed to procure the resources, for example, by a  substantial increase in personnel to enable the Monetary Authority to conduct more onsite supervision of regulated entities in the Cayman Islands.</w:t>
      </w:r>
    </w:p>
    <w:p>
      <w:pPr>
        <w:pStyle w:val="BodyText"/>
        <w:rPr>
          <w:b/>
        </w:rPr>
      </w:pPr>
      <w:r>
        <w:rPr>
          <w:b/>
        </w:rPr>
        <w:t>OECD – Exchange of Information on Tax Investigations</w:t>
      </w:r>
    </w:p>
    <w:p>
      <w:pPr>
        <w:pStyle w:val="BodyText"/>
        <w:rPr/>
      </w:pPr>
      <w:r>
        <w:rPr>
          <w:rFonts w:eastAsia="Goudy Old Style;Goudy Old Style"/>
        </w:rPr>
        <w:t xml:space="preserve"> </w:t>
      </w:r>
      <w:r>
        <w:rPr/>
        <w:t>The OECD Report on Harmful Tax Practices of 16</w:t>
      </w:r>
      <w:r>
        <w:rPr>
          <w:vertAlign w:val="superscript"/>
        </w:rPr>
        <w:t>th</w:t>
      </w:r>
      <w:r>
        <w:rPr/>
        <w:t xml:space="preserve"> June, 2000 listed a number of jurisdictions as non-co-operating tax havens.  Countries on that list have been encouraged to enter into negotiations with the OECD with a view to their being removed from the list.  However, the OECD has confirmed that concerted sanctions may be taken by OECD countries against countries on this list after one year.</w:t>
      </w:r>
    </w:p>
    <w:p>
      <w:pPr>
        <w:pStyle w:val="BodyText"/>
        <w:rPr/>
      </w:pPr>
      <w:r>
        <w:rPr/>
        <w:t>On the basis of a letter of commitment dated 18</w:t>
      </w:r>
      <w:r>
        <w:rPr>
          <w:vertAlign w:val="superscript"/>
        </w:rPr>
        <w:t>th</w:t>
      </w:r>
      <w:r>
        <w:rPr/>
        <w:t xml:space="preserve"> May, 2000 from the Cayman Islands Government to the OECD, the Cayman Islands are not on this list of non-cooperating tax havens and Cayman will therefore be excluded from any sanctions recommended next year by OECD. </w:t>
      </w:r>
    </w:p>
    <w:p>
      <w:pPr>
        <w:pStyle w:val="BodyText"/>
        <w:rPr/>
      </w:pPr>
      <w:r>
        <w:rPr/>
        <w:t>Pursuant to this letter of commitment, the Cayman Islands have committed to the following:-</w:t>
      </w:r>
    </w:p>
    <w:p>
      <w:pPr>
        <w:pStyle w:val="BodyText"/>
        <w:numPr>
          <w:ilvl w:val="0"/>
          <w:numId w:val="3"/>
        </w:numPr>
        <w:rPr>
          <w:u w:val="single"/>
        </w:rPr>
      </w:pPr>
      <w:r>
        <w:rPr>
          <w:u w:val="single"/>
        </w:rPr>
        <w:t>Exchange of Information on Tax Matters</w:t>
      </w:r>
    </w:p>
    <w:p>
      <w:pPr>
        <w:pStyle w:val="BodyText"/>
        <w:ind w:start="360" w:end="0"/>
        <w:rPr/>
      </w:pPr>
      <w:r>
        <w:rPr/>
        <w:t>The Cayman Islands will enter into bilateral agreements, still to be negotiated, with the United States, United Kingdom and other OECD countries to be effective for the first tax year after 31</w:t>
      </w:r>
      <w:r>
        <w:rPr>
          <w:vertAlign w:val="superscript"/>
        </w:rPr>
        <w:t>st</w:t>
      </w:r>
      <w:r>
        <w:rPr/>
        <w:t xml:space="preserve"> December, 2003 for the exchange of information on criminal tax investigations.  Under further bilateral agreements to be negotiated to be effective for the tax year after 31</w:t>
      </w:r>
      <w:r>
        <w:rPr>
          <w:vertAlign w:val="superscript"/>
        </w:rPr>
        <w:t>st</w:t>
      </w:r>
      <w:r>
        <w:rPr/>
        <w:t xml:space="preserve"> December, 2005, the Cayman Islands will exchange information on civil and administrative tax matters.  Requests for information under these agreements will need to be submitted by foreign tax authorities like the IRS or Inland Revenue to a competent authority in the Cayman Islands in a procedure similar to that existing under the current Mutual Legal Assistance Treaty with the United States in which the Cayman Islands Chief Justice acts as the competent authority.  This should ensure that the process is not abused.  If the competent Cayman authority is satisfied that there is a prima facie case of a tax crime or missing tax information and that there is a Cayman connection, the relevant Cayman service providers will have to supply information for the foreign tax authority. Confidentiality provisions will be included to ensure that information exchanged is adequately protected from unauthorised disclosure and it is not intended that these bilateral agreements will be retroactive.</w:t>
      </w:r>
    </w:p>
    <w:p>
      <w:pPr>
        <w:pStyle w:val="BodyText"/>
        <w:numPr>
          <w:ilvl w:val="0"/>
          <w:numId w:val="3"/>
        </w:numPr>
        <w:rPr>
          <w:u w:val="single"/>
        </w:rPr>
      </w:pPr>
      <w:r>
        <w:rPr>
          <w:u w:val="single"/>
        </w:rPr>
        <w:t>Bearer Shares</w:t>
      </w:r>
    </w:p>
    <w:p>
      <w:pPr>
        <w:pStyle w:val="BodyText"/>
        <w:ind w:start="360" w:end="0"/>
        <w:rPr/>
      </w:pPr>
      <w:r>
        <w:rPr/>
        <w:t>The ability to issue Bearer Shares will be abolished or the identity of beneficial owners of such bearer shares will be required to be available.</w:t>
      </w:r>
    </w:p>
    <w:p>
      <w:pPr>
        <w:pStyle w:val="BodyText"/>
        <w:tabs>
          <w:tab w:val="left" w:pos="720" w:leader="none"/>
        </w:tabs>
        <w:ind w:hanging="360" w:start="360" w:end="0"/>
        <w:rPr/>
      </w:pPr>
      <w:r>
        <w:rPr/>
        <w:t>3.</w:t>
        <w:tab/>
      </w:r>
      <w:r>
        <w:rPr>
          <w:u w:val="single"/>
        </w:rPr>
        <w:t>Accounts</w:t>
      </w:r>
    </w:p>
    <w:p>
      <w:pPr>
        <w:pStyle w:val="BodyText"/>
        <w:ind w:hanging="360" w:start="360" w:end="0"/>
        <w:rPr/>
      </w:pPr>
      <w:r>
        <w:rPr/>
        <w:tab/>
        <w:t xml:space="preserve">Appropriate filing or auditing requirements for foreign owned entities established in the Cayman Islands providing cross border financial and other services will be imposed, subject to rules for the exclusion of entities below certain thresholds.  It is likely that all Cayman companies will be required to file accounts at least with their registered office in the Cayman Islands and that certain types and or sizes or companies will have to have these accounts audited.  </w:t>
      </w:r>
    </w:p>
    <w:p>
      <w:pPr>
        <w:pStyle w:val="BodyText"/>
        <w:numPr>
          <w:ilvl w:val="0"/>
          <w:numId w:val="2"/>
        </w:numPr>
        <w:rPr>
          <w:u w:val="single"/>
        </w:rPr>
      </w:pPr>
      <w:r>
        <w:rPr>
          <w:u w:val="single"/>
        </w:rPr>
        <w:t>Resident/Non-Resident Entities</w:t>
      </w:r>
    </w:p>
    <w:p>
      <w:pPr>
        <w:pStyle w:val="BodyText"/>
        <w:ind w:start="360" w:end="0"/>
        <w:rPr/>
      </w:pPr>
      <w:r>
        <w:rPr/>
        <w:t>The existing Companies Law, Partnership Law and Trust Law and other related laws will be amended either to create only one type of company, partnership or trust structure (such as an exempted company, partnership or trust) applying equally to residents and non-residents of the Cayman Islands or to provide that such entities may be established by residents or non-residents of the Cayman Islands alike. Local immigration and business licensing requirements currently in force in the Cayman Islands will remain in place.</w:t>
      </w:r>
    </w:p>
    <w:p>
      <w:pPr>
        <w:pStyle w:val="BodyText"/>
        <w:numPr>
          <w:ilvl w:val="0"/>
          <w:numId w:val="2"/>
        </w:numPr>
        <w:rPr>
          <w:u w:val="single"/>
        </w:rPr>
      </w:pPr>
      <w:r>
        <w:rPr>
          <w:u w:val="single"/>
        </w:rPr>
        <w:t>Confidentiality Laws</w:t>
      </w:r>
    </w:p>
    <w:p>
      <w:pPr>
        <w:pStyle w:val="BodyText"/>
        <w:ind w:start="360" w:end="0"/>
        <w:rPr/>
      </w:pPr>
      <w:r>
        <w:rPr/>
        <w:t>The present Confidential Relationships (Preservation) Law will be repealed and replaced with appropriate information disclosure legislation which will protect legitimate confidential information and maintain soundness of the financial system.</w:t>
      </w:r>
    </w:p>
    <w:p>
      <w:pPr>
        <w:pStyle w:val="BodyText"/>
        <w:rPr>
          <w:b/>
        </w:rPr>
      </w:pPr>
      <w:r>
        <w:rPr>
          <w:b/>
        </w:rPr>
        <w:t>Conclusions</w:t>
      </w:r>
    </w:p>
    <w:p>
      <w:pPr>
        <w:pStyle w:val="BodyText"/>
        <w:rPr/>
      </w:pPr>
      <w:r>
        <w:rPr/>
        <w:t xml:space="preserve">Clients and prospective clients should continue to consider their tax position carefully with their home based tax advisors.  However, legitimate tax efficient structures and proper tax planning will continue to be able to use the zero tax advantages and efficiencies of the Cayman Islands.  </w:t>
      </w:r>
    </w:p>
    <w:p>
      <w:pPr>
        <w:pStyle w:val="BodyText"/>
        <w:rPr/>
      </w:pPr>
      <w:r>
        <w:rPr/>
        <w:t>Since most business carried on in the Cayman Islands does not involve money laundering and since most business carried on in the Cayman Islands does not involve tax evasion but rather legal tax avoidance or deferral, there are opportunities for the Cayman Islands to significantly expand and build on its international business. Other jurisdictions may be at a disadvantage for being effectively "black listed” in the coordinated global efforts attacking illegal business.</w:t>
      </w:r>
    </w:p>
    <w:p>
      <w:pPr>
        <w:pStyle w:val="BodyText"/>
        <w:ind w:start="360" w:end="0"/>
        <w:rPr/>
      </w:pPr>
      <w:r>
        <w:rPr/>
      </w:r>
    </w:p>
    <w:p>
      <w:pPr>
        <w:pStyle w:val="BodyText"/>
        <w:rPr/>
      </w:pPr>
      <w:r>
        <w:rPr/>
        <w:t>30</w:t>
      </w:r>
      <w:r>
        <w:rPr>
          <w:vertAlign w:val="superscript"/>
        </w:rPr>
        <w:t>th</w:t>
      </w:r>
      <w:r>
        <w:rPr/>
        <w:t xml:space="preserve"> August, 2000</w:t>
      </w:r>
    </w:p>
    <w:p>
      <w:pPr>
        <w:pStyle w:val="BodyText"/>
        <w:ind w:start="360" w:end="0"/>
        <w:rPr>
          <w:rFonts w:eastAsia="Goudy Old Style;Goudy Old Style"/>
        </w:rPr>
      </w:pPr>
      <w:r>
        <w:rPr>
          <w:rFonts w:eastAsia="Goudy Old Style;Goudy Old Style"/>
        </w:rPr>
        <w:t xml:space="preserve"> </w:t>
      </w:r>
    </w:p>
    <w:p>
      <w:pPr>
        <w:pStyle w:val="BodyText"/>
        <w:rPr/>
      </w:pPr>
      <w:r>
        <w:rPr/>
      </w:r>
    </w:p>
    <w:p>
      <w:pPr>
        <w:pStyle w:val="Normal"/>
        <w:rPr>
          <w:rFonts w:ascii="Goudy Old Style;Goudy Old Style" w:hAnsi="Goudy Old Style;Goudy Old Style" w:cs="Goudy Old Style;Goudy Old Style"/>
          <w:sz w:val="24"/>
        </w:rPr>
      </w:pPr>
      <w:r>
        <w:rPr>
          <w:rFonts w:cs="Goudy Old Style;Goudy Old Style" w:ascii="Goudy Old Style;Goudy Old Style" w:hAnsi="Goudy Old Style;Goudy Old Style"/>
          <w:sz w:val="24"/>
        </w:rPr>
      </w:r>
    </w:p>
    <w:sectPr>
      <w:headerReference w:type="default" r:id="rId2"/>
      <w:headerReference w:type="first" r:id="rId3"/>
      <w:footerReference w:type="default" r:id="rId4"/>
      <w:footerReference w:type="first" r:id="rId5"/>
      <w:type w:val="nextPage"/>
      <w:pgSz w:w="12240" w:h="15840"/>
      <w:pgMar w:left="1800" w:right="1800" w:gutter="0" w:header="720" w:top="907" w:footer="389"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Goudy Old Style">
    <w:charset w:val="00" w:characterSet="windows-1252"/>
    <w:family w:val="roman"/>
    <w:pitch w:val="variable"/>
  </w:font>
  <w:font w:name="Liberation Sans">
    <w:altName w:val="Arial"/>
    <w:charset w:val="01" w:characterSet="utf-8"/>
    <w:family w:val="swiss"/>
    <w:pitch w:val="variable"/>
  </w:font>
  <w:font w:name="Gill Sans">
    <w:charset w:val="00" w:characterSet="windows-1252"/>
    <w:family w:val="swiss"/>
    <w:pitch w:val="variable"/>
  </w:font>
  <w:font w:name="Copperplate Gothic Bold">
    <w:altName w:val="Univers Extende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20" w:type="dxa"/>
      <w:jc w:val="start"/>
      <w:tblInd w:w="18" w:type="dxa"/>
      <w:tblLayout w:type="fixed"/>
      <w:tblCellMar>
        <w:top w:w="0" w:type="dxa"/>
        <w:start w:w="108" w:type="dxa"/>
        <w:bottom w:w="0" w:type="dxa"/>
        <w:end w:w="108" w:type="dxa"/>
      </w:tblCellMar>
    </w:tblPr>
    <w:tblGrid>
      <w:gridCol w:w="6030"/>
      <w:gridCol w:w="2790"/>
    </w:tblGrid>
    <w:tr>
      <w:trPr/>
      <w:tc>
        <w:tcPr>
          <w:tcW w:w="6030" w:type="dxa"/>
          <w:tcBorders/>
        </w:tcPr>
        <w:p>
          <w:pPr>
            <w:pStyle w:val="Footer"/>
            <w:rPr>
              <w:sz w:val="13"/>
            </w:rPr>
          </w:pPr>
          <w:r>
            <w:rPr>
              <w:sz w:val="13"/>
            </w:rPr>
            <w:fldChar w:fldCharType="begin"/>
          </w:r>
          <w:r>
            <w:rPr>
              <w:sz w:val="13"/>
            </w:rPr>
            <w:instrText xml:space="preserve"> FILENAME </w:instrText>
          </w:r>
          <w:r>
            <w:rPr>
              <w:sz w:val="13"/>
            </w:rPr>
            <w:fldChar w:fldCharType="separate"/>
          </w:r>
          <w:r>
            <w:rPr>
              <w:sz w:val="13"/>
            </w:rPr>
            <w:t>anti_money_laundering_and_exchange_of_tax_info.doc</w:t>
          </w:r>
          <w:r>
            <w:rPr>
              <w:sz w:val="13"/>
            </w:rPr>
            <w:fldChar w:fldCharType="end"/>
          </w:r>
        </w:p>
      </w:tc>
      <w:tc>
        <w:tcPr>
          <w:tcW w:w="2790" w:type="dxa"/>
          <w:tcBorders/>
        </w:tcPr>
        <w:p>
          <w:pPr>
            <w:pStyle w:val="BodyText"/>
            <w:spacing w:before="0" w:after="0"/>
            <w:jc w:val="end"/>
            <w:rPr/>
          </w:pPr>
          <w:r>
            <w:rPr>
              <w:rFonts w:cs="Gill Sans" w:ascii="Gill Sans" w:hAnsi="Gill Sans"/>
              <w:sz w:val="20"/>
            </w:rPr>
            <w:t xml:space="preserve">- </w:t>
          </w:r>
          <w:r>
            <w:rPr>
              <w:rFonts w:cs="Gill Sans" w:ascii="Gill Sans" w:hAnsi="Gill Sans"/>
              <w:sz w:val="20"/>
            </w:rPr>
            <w:fldChar w:fldCharType="begin"/>
          </w:r>
          <w:r>
            <w:rPr>
              <w:sz w:val="20"/>
              <w:rFonts w:cs="Gill Sans" w:ascii="Gill Sans" w:hAnsi="Gill Sans"/>
            </w:rPr>
            <w:instrText xml:space="preserve"> PAGE </w:instrText>
          </w:r>
          <w:r>
            <w:rPr>
              <w:sz w:val="20"/>
              <w:rFonts w:cs="Gill Sans" w:ascii="Gill Sans" w:hAnsi="Gill Sans"/>
            </w:rPr>
            <w:fldChar w:fldCharType="separate"/>
          </w:r>
          <w:r>
            <w:rPr>
              <w:sz w:val="20"/>
              <w:rFonts w:cs="Gill Sans" w:ascii="Gill Sans" w:hAnsi="Gill Sans"/>
            </w:rPr>
            <w:t>5</w:t>
          </w:r>
          <w:r>
            <w:rPr>
              <w:sz w:val="20"/>
              <w:rFonts w:cs="Gill Sans" w:ascii="Gill Sans" w:hAnsi="Gill Sans"/>
            </w:rPr>
            <w:fldChar w:fldCharType="end"/>
          </w:r>
          <w:r>
            <w:rPr>
              <w:rFonts w:cs="Gill Sans" w:ascii="Gill Sans" w:hAnsi="Gill Sans"/>
              <w:sz w:val="20"/>
            </w:rPr>
            <w:t xml:space="preserve"> -</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/mnt/main-storage/datasets/enron-docs/doc/anti_money_laundering_and_exchange_of_tax_info.doc</w:t>
    </w:r>
    <w:r>
      <w:rP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20" w:type="dxa"/>
      <w:jc w:val="start"/>
      <w:tblInd w:w="18" w:type="dxa"/>
      <w:tblLayout w:type="fixed"/>
      <w:tblCellMar>
        <w:top w:w="0" w:type="dxa"/>
        <w:start w:w="108" w:type="dxa"/>
        <w:bottom w:w="0" w:type="dxa"/>
        <w:end w:w="108" w:type="dxa"/>
      </w:tblCellMar>
    </w:tblPr>
    <w:tblGrid>
      <w:gridCol w:w="2880"/>
      <w:gridCol w:w="5940"/>
    </w:tblGrid>
    <w:tr>
      <w:trPr/>
      <w:tc>
        <w:tcPr>
          <w:tcW w:w="2880" w:type="dxa"/>
          <w:tcBorders/>
        </w:tcPr>
        <w:p>
          <w:pPr>
            <w:pStyle w:val="BodyText"/>
            <w:spacing w:before="0" w:after="0"/>
            <w:rPr>
              <w:rFonts w:ascii="Copperplate Gothic Bold;Univers Extended" w:hAnsi="Copperplate Gothic Bold;Univers Extended" w:cs="Copperplate Gothic Bold;Univers Extended"/>
            </w:rPr>
          </w:pPr>
          <w:r>
            <w:rPr>
              <w:rFonts w:cs="Copperplate Gothic Bold;Univers Extended" w:ascii="Copperplate Gothic Bold;Univers Extended" w:hAnsi="Copperplate Gothic Bold;Univers Extended"/>
            </w:rPr>
            <w:t>Hunter &amp; Hunter</w:t>
          </w:r>
        </w:p>
        <w:p>
          <w:pPr>
            <w:pStyle w:val="BodyText"/>
            <w:spacing w:lineRule="exact" w:line="140" w:before="0" w:after="0"/>
            <w:rPr>
              <w:rFonts w:ascii="Copperplate Gothic Bold;Univers Extended" w:hAnsi="Copperplate Gothic Bold;Univers Extended" w:cs="Copperplate Gothic Bold;Univers Extended"/>
              <w:sz w:val="16"/>
            </w:rPr>
          </w:pPr>
          <w:r>
            <w:rPr>
              <w:rFonts w:cs="Gill Sans" w:ascii="Gill Sans" w:hAnsi="Gill Sans"/>
              <w:spacing w:val="-30"/>
              <w:w w:val="185"/>
              <w:sz w:val="15"/>
            </w:rPr>
            <w:t>—</w:t>
          </w:r>
          <w:r>
            <w:rPr>
              <w:rFonts w:eastAsia="Gill Sans" w:cs="Gill Sans" w:ascii="Gill Sans" w:hAnsi="Gill Sans"/>
              <w:spacing w:val="30"/>
              <w:w w:val="90"/>
              <w:sz w:val="15"/>
            </w:rPr>
            <w:t xml:space="preserve"> </w:t>
          </w:r>
          <w:r>
            <w:rPr>
              <w:rFonts w:eastAsia="Gill Sans" w:cs="Gill Sans" w:ascii="Gill Sans" w:hAnsi="Gill Sans"/>
              <w:spacing w:val="32"/>
              <w:w w:val="90"/>
              <w:sz w:val="15"/>
            </w:rPr>
            <w:t xml:space="preserve"> </w:t>
          </w:r>
          <w:r>
            <w:rPr>
              <w:rFonts w:cs="Gill Sans" w:ascii="Gill Sans" w:hAnsi="Gill Sans"/>
              <w:spacing w:val="32"/>
              <w:sz w:val="15"/>
            </w:rPr>
            <w:t>Attorneys-at-Law</w:t>
          </w:r>
          <w:r>
            <w:rPr>
              <w:rFonts w:cs="Gill Sans" w:ascii="Gill Sans" w:hAnsi="Gill Sans"/>
              <w:spacing w:val="-30"/>
              <w:w w:val="185"/>
              <w:sz w:val="15"/>
            </w:rPr>
            <w:t>—</w:t>
          </w:r>
        </w:p>
      </w:tc>
      <w:tc>
        <w:tcPr>
          <w:tcW w:w="5940" w:type="dxa"/>
          <w:tcBorders/>
        </w:tcPr>
        <w:p>
          <w:pPr>
            <w:pStyle w:val="BodyText"/>
            <w:spacing w:before="0" w:after="0"/>
            <w:jc w:val="end"/>
            <w:rPr>
              <w:rFonts w:ascii="Gill Sans" w:hAnsi="Gill Sans" w:cs="Gill Sans"/>
              <w:sz w:val="20"/>
            </w:rPr>
          </w:pPr>
          <w:r>
            <w:rPr>
              <w:rFonts w:cs="Gill Sans" w:ascii="Gill Sans" w:hAnsi="Gill Sans"/>
              <w:sz w:val="20"/>
            </w:rPr>
            <w:fldChar w:fldCharType="begin"/>
          </w:r>
          <w:r>
            <w:rPr>
              <w:sz w:val="20"/>
              <w:rFonts w:cs="Gill Sans" w:ascii="Gill Sans" w:hAnsi="Gill Sans"/>
            </w:rPr>
            <w:instrText xml:space="preserve"> FILLIN "Enter recipient's name for continuation page"</w:instrText>
          </w:r>
          <w:r>
            <w:rPr>
              <w:sz w:val="20"/>
              <w:rFonts w:cs="Gill Sans" w:ascii="Gill Sans" w:hAnsi="Gill Sans"/>
            </w:rPr>
            <w:fldChar w:fldCharType="separate"/>
          </w:r>
          <w:r>
            <w:rPr>
              <w:sz w:val="20"/>
              <w:rFonts w:cs="Gill Sans" w:ascii="Gill Sans" w:hAnsi="Gill Sans"/>
            </w:rPr>
          </w:r>
          <w:r>
            <w:rPr>
              <w:sz w:val="20"/>
              <w:rFonts w:cs="Gill Sans" w:ascii="Gill Sans" w:hAnsi="Gill Sans"/>
            </w:rPr>
            <w:fldChar w:fldCharType="end"/>
          </w:r>
        </w:p>
        <w:p>
          <w:pPr>
            <w:pStyle w:val="BodyText"/>
            <w:spacing w:before="0" w:after="0"/>
            <w:jc w:val="end"/>
            <w:rPr>
              <w:rFonts w:ascii="Gill Sans" w:hAnsi="Gill Sans" w:cs="Gill Sans"/>
            </w:rPr>
          </w:pPr>
          <w:r>
            <w:rPr>
              <w:rFonts w:cs="Gill Sans" w:ascii="Gill Sans" w:hAnsi="Gill Sans"/>
              <w:sz w:val="20"/>
            </w:rPr>
            <w:fldChar w:fldCharType="begin"/>
          </w:r>
          <w:r>
            <w:rPr>
              <w:sz w:val="20"/>
              <w:rFonts w:cs="Gill Sans" w:ascii="Gill Sans" w:hAnsi="Gill Sans"/>
            </w:rPr>
            <w:instrText xml:space="preserve"> DATE \@"d\ MMMM\ yyyy" </w:instrText>
          </w:r>
          <w:r>
            <w:rPr>
              <w:sz w:val="20"/>
              <w:rFonts w:cs="Gill Sans" w:ascii="Gill Sans" w:hAnsi="Gill Sans"/>
            </w:rPr>
            <w:fldChar w:fldCharType="separate"/>
          </w:r>
          <w:r>
            <w:rPr>
              <w:sz w:val="20"/>
              <w:rFonts w:cs="Gill Sans" w:ascii="Gill Sans" w:hAnsi="Gill Sans"/>
            </w:rPr>
            <w:t>28 September 2025</w:t>
          </w:r>
          <w:r>
            <w:rPr>
              <w:sz w:val="20"/>
              <w:rFonts w:cs="Gill Sans" w:ascii="Gill Sans" w:hAnsi="Gill Sans"/>
            </w:rPr>
            <w:fldChar w:fldCharType="end"/>
          </w:r>
        </w:p>
      </w:tc>
    </w:tr>
  </w:tbl>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u w:val="none"/>
      </w:rPr>
    </w:lvl>
  </w:abstractNum>
  <w:abstractNum w:abstractNumId="3">
    <w:lvl w:ilvl="0">
      <w:start w:val="1"/>
      <w:numFmt w:val="decimal"/>
      <w:lvlText w:val="%1."/>
      <w:lvlJc w:val="start"/>
      <w:pPr>
        <w:tabs>
          <w:tab w:val="num" w:pos="360"/>
        </w:tabs>
        <w:ind w:start="360" w:hanging="360"/>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BodyText"/>
    <w:qFormat/>
    <w:pPr>
      <w:keepNext w:val="true"/>
      <w:numPr>
        <w:ilvl w:val="0"/>
        <w:numId w:val="1"/>
      </w:numPr>
      <w:spacing w:before="240" w:after="240"/>
      <w:jc w:val="center"/>
      <w:outlineLvl w:val="0"/>
    </w:pPr>
    <w:rPr>
      <w:rFonts w:ascii="Goudy Old Style;Goudy Old Style" w:hAnsi="Goudy Old Style;Goudy Old Style" w:cs="Goudy Old Style;Goudy Old Style"/>
      <w:b/>
      <w:caps/>
      <w:kern w:val="2"/>
      <w:sz w:val="24"/>
      <w:lang w:val="en-GB"/>
    </w:rPr>
  </w:style>
  <w:style w:type="paragraph" w:styleId="Heading2">
    <w:name w:val="heading 2"/>
    <w:basedOn w:val="BodyText"/>
    <w:next w:val="Normal"/>
    <w:qFormat/>
    <w:pPr>
      <w:keepNext w:val="true"/>
      <w:numPr>
        <w:ilvl w:val="1"/>
        <w:numId w:val="1"/>
      </w:numPr>
      <w:spacing w:lineRule="auto" w:line="480" w:before="0" w:after="240"/>
      <w:outlineLvl w:val="1"/>
    </w:pPr>
    <w:rPr>
      <w:b/>
      <w:smallCaps/>
    </w:rPr>
  </w:style>
  <w:style w:type="character" w:styleId="WW8Num1z0">
    <w:name w:val="WW8Num1z0"/>
    <w:qFormat/>
    <w:rPr>
      <w:u w:val="none"/>
    </w:rPr>
  </w:style>
  <w:style w:type="character" w:styleId="WW8Num2z0">
    <w:name w:val="WW8Num2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Goudy Old Style;Goudy Old Style" w:hAnsi="Goudy Old Style;Goudy Old Style" w:cs="Goudy Old Style;Goudy Old Style"/>
      <w:sz w:val="24"/>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Goudy Old Style;Goudy Old Style" w:hAnsi="Goudy Old Style;Goudy Old Style" w:cs="Goudy Old Style;Goudy Old Style"/>
      <w:lang w:val="en-GB"/>
    </w:rPr>
  </w:style>
  <w:style w:type="paragraph" w:styleId="Footer">
    <w:name w:val="footer"/>
    <w:basedOn w:val="Normal"/>
    <w:pPr>
      <w:tabs>
        <w:tab w:val="clear" w:pos="720"/>
        <w:tab w:val="center" w:pos="4320" w:leader="none"/>
        <w:tab w:val="right" w:pos="8640" w:leader="none"/>
      </w:tabs>
    </w:pPr>
    <w:rPr>
      <w:rFonts w:ascii="Goudy Old Style;Goudy Old Style" w:hAnsi="Goudy Old Style;Goudy Old Style" w:cs="Goudy Old Style;Goudy Old Style"/>
      <w:sz w:val="24"/>
      <w:lang w:val="en-GB"/>
    </w:rPr>
  </w:style>
  <w:style w:type="paragraph" w:styleId="Address">
    <w:name w:val="Address"/>
    <w:basedOn w:val="BodyText"/>
    <w:qFormat/>
    <w:pPr>
      <w:spacing w:before="0" w:after="0"/>
    </w:pPr>
    <w:rPr/>
  </w:style>
  <w:style w:type="paragraph" w:styleId="letterheadaddress">
    <w:name w:val="letterhead address"/>
    <w:basedOn w:val="Address"/>
    <w:qFormat/>
    <w:pPr>
      <w:jc w:val="start"/>
    </w:pPr>
    <w:rPr>
      <w:rFonts w:ascii="Gill Sans" w:hAnsi="Gill Sans" w:cs="Gill San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2000-09-14T18:17:00Z</dcterms:created>
  <dc:creator>Patricia Glasgow</dc:creator>
  <dc:description/>
  <dc:language>en-CA</dc:language>
  <cp:lastModifiedBy>Patricia Glasgow</cp:lastModifiedBy>
  <cp:lastPrinted>2000-09-14T16:46:00Z</cp:lastPrinted>
  <dcterms:modified xsi:type="dcterms:W3CDTF">2000-09-14T18:17:00Z</dcterms:modified>
  <cp:revision>2</cp:revision>
  <dc:subject/>
  <dc:title>Hunter &amp; Hunter</dc:title>
</cp:coreProperties>
</file>