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pPr>
      <w:r>
        <w:rPr/>
        <w:t xml:space="preserve">STEPHEN A. CHAN </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3611 Thunderbird Street</w:t>
      </w:r>
    </w:p>
    <w:p>
      <w:pPr>
        <w:pStyle w:val="Normal"/>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pPr>
      <w:r>
        <w:rPr/>
        <w:t>Missouri City, Texas 77459-2409</w:t>
      </w:r>
    </w:p>
    <w:p>
      <w:pPr>
        <w:pStyle w:val="Normal"/>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pPr>
      <w:r>
        <w:rPr/>
        <w:t>telephone: (281) 499-2861</w:t>
      </w:r>
    </w:p>
    <w:p>
      <w:pPr>
        <w:pStyle w:val="Normal"/>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rPr/>
      </w:pPr>
      <w:r>
        <w:rPr/>
        <w:t xml:space="preserve">email: sac8@hotmail.com </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smallCaps/>
        </w:rPr>
        <w:t>Education</w:t>
      </w:r>
      <w:r>
        <w:rPr/>
        <w:t>:</w:t>
        <w:tab/>
        <w:t>DePaul University College of Law, 1989;</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Juris Doctor, top 25% of class.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Member, Moot Court Board, 1987 to 1989.</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Editorial Staff, DePaul Business Law Journal, 1988 to 1989.</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880" w:end="0"/>
        <w:rPr/>
      </w:pPr>
      <w:r>
        <w:rPr/>
        <w:t>Co-authored with S. Weber, “Purposeful Availment,” 39 South Carolina Law Review 815, 1988</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880" w:end="0"/>
        <w:rPr/>
      </w:pPr>
      <w:r>
        <w:rPr/>
        <w:t>American Bar Association Client Counseling Competition at Notre Dame University, Finalist, 1989.</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University of Houston, 1981;</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Masters in Business Administration;  Finance and International Business.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University of Texas, 1978;</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Bachelor of Science;  Petroleum Engineering.</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outlineLvl w:val="0"/>
        <w:rPr/>
      </w:pPr>
      <w:r>
        <w:rPr>
          <w:smallCaps/>
        </w:rPr>
        <w:t>Primary Areas of Practice</w:t>
      </w:r>
      <w:r>
        <w:rPr/>
        <w:t>:</w:t>
        <w:tab/>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Corporate commercial and financial transactions based practice emphasizing commercial contract negotiation and documentation, property acquisitions and divestitures, asset-based lending, workout and bankruptcy matters, and representation of secured creditors and lenders.  Experienced in commercial and corporate finance, acquisition financing, secured and unsecured lending and secured creditor representation, including loan negotiation and documentation, personal property and real property</w:t>
        <w:noBreakHyphen/>
        <w:t xml:space="preserve">secured transactions, leveraged buyout and acquisition financing, real estate finance, interest rate swaps, usury laws, equipment leasing, guarantor and surety law, subordinated debt structuring and negotiation, letters of credit, bulk transfers, problem loan workouts, debtor-in-possession financing, foreclosure upon real and personal property, and bankruptcy representation of creditors.  Working knowledge of typical operating procedures for onshore, offshore and deep water crude oil and natural gas exploration, development and production activities. </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rPr/>
      </w:pPr>
      <w:r>
        <w:rPr>
          <w:smallCaps/>
        </w:rPr>
        <w:t>Corporate Representation</w:t>
      </w:r>
      <w:r>
        <w:rPr/>
        <w:t>:</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corporation in structuring and negotiating steam, electric power and feedstock contracts in the development of business lines applying patented ceramic rotary kiln technology in cogeneration power industry.</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acquirer in the purchase of gas gathering system, related gas plants and gas purchase contracts.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 Fortune 500" chemicals company in secured bridge financings for leveraged buyout acquisitions, issuance and later redemption of $225 million of SEC registered notes, and recapitalization of the company through $200 million long term and $50 million working capital facilities in connection with the spin</w:t>
        <w:noBreakHyphen/>
        <w:t>off of assets and the company's "going public" on the NYSE.</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NYSE-listed petroleum and natural gas producer, a subsidiary of a gas transmission company, in obtaining a $300 million unsecured line of credit from a ten bank lending syndicate.</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Toronto Stock Exchange-listed mining and natural resources company and its U.S. affiliates in obtaining separate credit facilities aggregating approximately $30 million for two of its subsidiaries secured by a potash mine and by partnership interests in a gold mine, and subsequent sale of subsidiary.</w:t>
      </w:r>
    </w:p>
    <w:p>
      <w:pPr>
        <w:pStyle w:val="Normal"/>
        <w:keepNext w:val="true"/>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Next w:val="true"/>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developers in initial start-up and joint venture financing of preliminary stages of a cogeneration project involving a "Fortune 500" petroleum refining company and a "Fortune 500" rubber products company as end users.</w:t>
      </w:r>
    </w:p>
    <w:p>
      <w:pPr>
        <w:pStyle w:val="Normal"/>
        <w:keepNext w:val="true"/>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marine transportation company in expanding barge fleet from  8 to 42, including obtaining secured lines of credit from Swedish bank.</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world's leading manufacturer of plastic tape in financing and acquiring state of the art expansion extrusion equipment, by obtaining secured credit lines and documenting long-term interest rate swaps.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owner/founder in acquiring control and full ownership of privately</w:t>
        <w:noBreakHyphen/>
        <w:t>held “bankruptcy software” corporation, and represented company in negotiating large volume sales, employment contracts, protection of proprietary information and general business matters.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investor group in banking lines of credit in their $470 million acquisition of the U.S. market leader of manufactured animal nutrition products.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a nationwide funeral home company in retirement of its $4 million debt and in releasing liens on real and personal properties in over forty locations across sixteen states in connection with a sale of assets to a third party purchaser.</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corporate owner of the local National League baseball franchise in various matters, including negotiations and documentation of three separate, but concurrent credit facilities involving different lenders, debtor/creditor rights, collection matters, and a $405 million commercial paper facility secured by national media rights through bankruptcy remote entities.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Next w:val="true"/>
        <w:keepLines/>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rPr/>
      </w:pPr>
      <w:r>
        <w:rPr>
          <w:smallCaps/>
        </w:rPr>
        <w:t>Banking Representation</w:t>
      </w:r>
      <w:r>
        <w:rPr/>
        <w:t>:</w:t>
      </w:r>
    </w:p>
    <w:p>
      <w:pPr>
        <w:pStyle w:val="Normal"/>
        <w:keepNext w:val="true"/>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New York money-center agent bank in leading a fifty-two bank syndicate in an $800 million credit facility made to a "Fortune 500" NYSE-listed gas trans</w:t>
        <w:softHyphen/>
        <w:t>mission company and a $470 million facility to a subsidiary's joint venture, and in leading an English-agented bank syndicate in a £85 million revolver to the company's U.K. subsidiary.</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agent bank in five separate credit facilities including twenty-four financial institutions lending an aggregate $1.17 billion to a "Business Week 500" NYSE</w:t>
        <w:noBreakHyphen/>
        <w:t>listed gas transmission company and its affiliates.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agent bank in leading a fifteen bank syndicate in $900 million of bifurcated long-term and short-term credit facilities made to a "Fortune 100" NYSE-listed natural resources company.</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agent bank in leading a thirty bank syndicate in a $750 million secured credit facility made to a "Business Week 500" investment grade NYSE-listed oil and gas production and transmission company.</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agent bank in leading a fourteen bank syndicate in a $400 million credit facility made to a "Business Week 500" NYSE-listed gas transmission company and its subsidiaries.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money center lender in establishing a secured credit facility cross collateralized among six subsidiaries and affiliates of a "Fortune 500" forest products company.</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multi-regional bank as agent in leading a sixteen bank syndicate in a $650 million credit facility made to a "Fortune 500" crude oil and natural gas production company.</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foreign (Scottish) bank in connection with various credit facilities made to or on behalf of borrowers requiring the financial support or guarantee of their U.S.-based parent or affiliates.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multi-regional bank in structuring, negotiations and documentation of various secured credit facilities to energy related and middle market corporate borrowers headquartered in and around Houston, Texas, including cross</w:t>
        <w:noBreakHyphen/>
        <w:t>border financing and cross-collateralization with international subsidiaries in the Americas, Europe and Asia.</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out-of-state financial institutions, in-state lenders and foreign (French and Japanese) banks in preparing standardized forms for use in commercial loans, letters of credit and other financial transactions.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agent in a seven bank syndicate providing a $150 million credit facility to a "Business Week 500" NYSE-listed precious metals mining company.</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
    </w:p>
    <w:p>
      <w:pPr>
        <w:pStyle w:val="Normal"/>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rPr/>
      </w:pPr>
      <w:r>
        <w:rPr>
          <w:smallCaps/>
        </w:rPr>
        <w:t>Restructuring &amp; Workouts</w:t>
      </w:r>
      <w:r>
        <w:rPr/>
        <w:t>:</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NYSE-listed convenience store holding company in downsizing during an industry recession, in obtaining debtor-in-possession financing during its Chapter 11 bankruptcy and in negotiating and maintaining post-bankruptcy lines of credit in an aggregate amount of $90 million for the reorganized debtor under three separate credit facilities with multiple lenders.</w:t>
      </w:r>
    </w:p>
    <w:p>
      <w:pPr>
        <w:pStyle w:val="Normal"/>
        <w:keepNext w:val="true"/>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Next w:val="true"/>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foreign (French) bank as agent bank in maintaining collateral security for a twenty bank lending syndicate in the financial restructuring of a national trucking and shipping company previously taken private through a leveraged buyout.</w:t>
      </w:r>
    </w:p>
    <w:p>
      <w:pPr>
        <w:pStyle w:val="Normal"/>
        <w:keepNext w:val="true"/>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numerous lending institutions in different transactions in connection with public foreclosures of personal property and real property under Texas law.</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agent bank of two multi-bank syndicates with two facilities resulting in full recovery of all principal, interest and fees totaling in excess of $18 million from an AMEX-listed geophysical seismic company in Chapter 11 bankruptcy.</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money center bank in negotiations with an AMEX-listed sporting goods manufacturer and distribution company which threatened lender liability litigation against the bank, resulting in full recovery of all principal, interest and fees due to the lender in excess of $20 million.</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Represented money center bank in its sale of a distressed loan facility and related collateral security to a foreign bank.</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Next w:val="true"/>
        <w:keepLines/>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rPr/>
      </w:pPr>
      <w:r>
        <w:rPr>
          <w:smallCaps/>
        </w:rPr>
        <w:t>Legal Experience</w:t>
      </w:r>
      <w:r>
        <w:rPr/>
        <w:t>:</w:t>
      </w:r>
    </w:p>
    <w:p>
      <w:pPr>
        <w:pStyle w:val="Normal"/>
        <w:keepNext w:val="true"/>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Banking and Finance, Energy and Commercial Transactions attorney structuring, negotiating, documenting and closing a variety of commercial business transactions involving complex structures and financing, as described in greater detail above.  Senior Counsel.  Locke Liddell &amp; Sapp, LLP  (1999-present).</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Commercial Finance and Banking attorney representing banking, corporate, and government clients in business activities which included syndicated lending, rate swaps and hedges, bankruptcy remote entities, tax incremental reinvestment zones, city construction contracts, health care and cross-border financing.  Shareholder, Vice President and Administrative Officer.  Chan Warner P.C. (1997</w:t>
        <w:noBreakHyphen/>
        <w:t>1999).</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Real Estate, Energy and Finance transaction attorney responsible for the negotiations of, the documentation for, and reaching closure on numerous banking and finance projects for corporate and banking clients, as described in greater detail above.  Bracewell &amp; Patterson LLP (1989-1997).</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
    </w:p>
    <w:p>
      <w:pPr>
        <w:pStyle w:val="Normal"/>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rPr/>
      </w:pPr>
      <w:r>
        <w:rPr>
          <w:smallCaps/>
        </w:rPr>
        <w:t>Prior Experience</w:t>
      </w:r>
      <w:r>
        <w:rPr/>
        <w:t>:</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Managed $120 million portfolio of owned assets including 1700 petroleum properties and a fleet of 42 oilfield drilling and workover rigs, and developed policy and procedure to liquidate $1.5 billion of distressed loans in the federal rescue of Continental Illinois National Bank.  Federal Deposit Insurance Corporation (1986</w:t>
        <w:noBreakHyphen/>
        <w:t>1989).</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Reduced criticized loans from $77 million to $36 million, and operated two wholly-owned bank subsidiaries which managed $15 million of foreclosed oil and gas properties.  Evaluated reserves used as collateral in secured credit facilities.  First City National Bank of Houston (1980-1986).</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WP MathA" w:ascii="WP MathA" w:hAnsi="WP MathA"/>
        </w:rPr>
        <w:sym w:font="WP MathA" w:char="f03c"/>
      </w:r>
      <w:r>
        <w:rPr/>
        <w:tab/>
        <w:t>Recommended and implemented onshore and offshore drilling and workover programs and waterflood projects as a reservoir and production engineer.  Estimated reserves and developed economics in bids for offshore OCS properties and in offers for corporate acquisitions.  Developed reserve data for an API study mandated by the Department of Energy under the Carter Administration.  Mobil Oil Corporation (1977-1980).</w:t>
      </w:r>
    </w:p>
    <w:p>
      <w:pPr>
        <w:sectPr>
          <w:footerReference w:type="default" r:id="rId2"/>
          <w:footerReference w:type="first" r:id="rId3"/>
          <w:type w:val="nextPage"/>
          <w:pgSz w:w="12240" w:h="15840"/>
          <w:pgMar w:left="1260" w:right="1260" w:gutter="0" w:header="0" w:top="1170" w:footer="840" w:bottom="896"/>
          <w:pgNumType w:fmt="decimal"/>
          <w:formProt w:val="false"/>
          <w:titlePg/>
          <w:textDirection w:val="lrTb"/>
          <w:docGrid w:type="default" w:linePitch="360" w:charSpace="0"/>
        </w:sect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rPr/>
      </w:pPr>
      <w:r>
        <w:rPr>
          <w:smallCaps/>
        </w:rPr>
        <w:t>Professional Affiliations</w:t>
      </w:r>
      <w:r>
        <w:rPr/>
        <w:t>:</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American Bar Association.</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 xml:space="preserve">Asian American Bar Association: Director (1991-1996); </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rPr/>
      </w:pPr>
      <w:r>
        <w:rPr/>
        <w:t>Vice President, Programs (1992-1993).</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t>Houston Bar Association:   Chairman, Membership Committee (1999-present); Chairman and Committee Member, Minority Opportunities in the Legal Profession (1992-1999); Elder Law Committee Member (1994-1997); Law Day Committee Member (1992-1993).</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Houston Volunteer Lawyers Program, Inc. (1992-present).</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Illinois State Bar (1990-present).</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Society of Petroleum Engineers (1977-1989).</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t>State Bar of Texas:   Vice-Chair, Coordination With Other Professional Groups Committee (1995-present).</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Texas Association of Bank Counsel (1997-present).</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Texas State Board of Professional Engineers.</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Admitted to practice law - Texas, 1989; Illinois, 1990.</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Registered Professional Engineer, Texas, April, 1978.</w:t>
      </w:r>
    </w:p>
    <w:p>
      <w:pPr>
        <w:pStyle w:val="Normal"/>
        <w:keepNext w:val="true"/>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Next w:val="true"/>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rPr>
          <w:smallCaps/>
        </w:rPr>
      </w:pPr>
      <w:r>
        <w:rPr>
          <w:smallCaps/>
        </w:rPr>
        <w:t>Civic, Charitable and Community Affiliations:</w:t>
      </w:r>
    </w:p>
    <w:p>
      <w:pPr>
        <w:pStyle w:val="Normal"/>
        <w:keepNext w:val="true"/>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Next w:val="true"/>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t>First Baptist Church of Houston: Finance Committee (1996-1999).</w:t>
      </w:r>
    </w:p>
    <w:p>
      <w:pPr>
        <w:pStyle w:val="Normal"/>
        <w:keepNext w:val="true"/>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Avondale House, a United Way agency - Director (1994-present).</w:t>
      </w:r>
    </w:p>
    <w:p>
      <w:pPr>
        <w:pStyle w:val="Normal"/>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United Cerebral Palsy of Greater Houston, Inc. - Director (1994-1996).</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Houston Oratorio Society - Governing Council (1991-1994).</w:t>
      </w:r>
    </w:p>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Sigma Tau Gamma Alumni Association.</w:t>
      </w:r>
    </w:p>
    <w:p>
      <w:pPr>
        <w:pStyle w:val="Normal"/>
        <w:rPr/>
      </w:pPr>
      <w:r>
        <w:rPr/>
        <w:tab/>
        <w:t>The United Way of Greater Houston, Inc.- Project Blueprint Member: Class X.</w:t>
      </w:r>
    </w:p>
    <w:p>
      <w:pPr>
        <w:pStyle w:val="Normal"/>
        <w:keepNext w:val="true"/>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Next w:val="true"/>
        <w:numPr>
          <w:ilvl w:val="0"/>
          <w:numId w:val="0"/>
        </w:numPr>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0"/>
        <w:rPr>
          <w:smallCaps/>
        </w:rPr>
      </w:pPr>
      <w:r>
        <w:rPr>
          <w:smallCaps/>
        </w:rPr>
        <w:t>Personal:</w:t>
      </w:r>
    </w:p>
    <w:p>
      <w:pPr>
        <w:pStyle w:val="Normal"/>
        <w:keepNext w:val="true"/>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keepNext w:val="true"/>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rPr/>
      </w:pPr>
      <w:r>
        <w:rPr/>
        <w:t>Status:</w:t>
        <w:tab/>
        <w:tab/>
        <w:t>Married</w:t>
      </w:r>
    </w:p>
    <w:p>
      <w:pPr>
        <w:pStyle w:val="Normal"/>
        <w:keepNext w:val="true"/>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Health:</w:t>
        <w:tab/>
        <w:tab/>
        <w:t>Excellent</w:t>
      </w:r>
    </w:p>
    <w:p>
      <w:pPr>
        <w:pStyle w:val="Normal"/>
        <w:keepLines/>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DOB:</w:t>
        <w:tab/>
        <w:tab/>
        <w:t>February 11, 1957</w:t>
      </w:r>
    </w:p>
    <w:p>
      <w:pPr>
        <w:pStyle w:val="Normal"/>
        <w:rPr/>
      </w:pPr>
      <w:r>
        <w:rPr/>
        <w:tab/>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PTBarnum BT">
    <w:charset w:val="00" w:characterSet="windows-1252"/>
    <w:family w:val="decorative"/>
    <w:pitch w:val="variable"/>
  </w:font>
  <w:font w:name="Tahoma">
    <w:charset w:val="00" w:characterSet="windows-1252"/>
    <w:family w:val="swiss"/>
    <w:pitch w:val="variable"/>
  </w:font>
  <w:font w:name="WP Math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sz w:val="19"/>
      </w:rPr>
      <w:t xml:space="preserve">- </w:t>
    </w:r>
    <w:r>
      <w:rPr>
        <w:sz w:val="19"/>
      </w:rPr>
      <w:fldChar w:fldCharType="begin"/>
    </w:r>
    <w:r>
      <w:rPr>
        <w:sz w:val="19"/>
      </w:rPr>
      <w:instrText xml:space="preserve"> PAGE \* ARABIC </w:instrText>
    </w:r>
    <w:r>
      <w:rPr>
        <w:sz w:val="19"/>
      </w:rPr>
      <w:fldChar w:fldCharType="separate"/>
    </w:r>
    <w:r>
      <w:rPr>
        <w:sz w:val="19"/>
      </w:rPr>
      <w:t>4</w:t>
    </w:r>
    <w:r>
      <w:rPr>
        <w:sz w:val="19"/>
      </w:rPr>
      <w:fldChar w:fldCharType="end"/>
    </w:r>
    <w:r>
      <w:rPr>
        <w:sz w:val="19"/>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872" w:leader="none"/>
        <w:tab w:val="left" w:pos="-1152" w:leader="none"/>
        <w:tab w:val="left" w:pos="-432"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sz w:val="19"/>
      </w:rPr>
      <w:t xml:space="preserve">- </w:t>
    </w:r>
    <w:r>
      <w:rPr>
        <w:sz w:val="19"/>
      </w:rPr>
      <w:fldChar w:fldCharType="begin"/>
    </w:r>
    <w:r>
      <w:rPr>
        <w:sz w:val="19"/>
      </w:rPr>
      <w:instrText xml:space="preserve"> PAGE \* ARABIC </w:instrText>
    </w:r>
    <w:r>
      <w:rPr>
        <w:sz w:val="19"/>
      </w:rPr>
      <w:fldChar w:fldCharType="separate"/>
    </w:r>
    <w:r>
      <w:rPr>
        <w:sz w:val="19"/>
      </w:rPr>
      <w:t>0</w:t>
    </w:r>
    <w:r>
      <w:rPr>
        <w:sz w:val="19"/>
      </w:rPr>
      <w:fldChar w:fldCharType="end"/>
    </w:r>
    <w:r>
      <w:rPr>
        <w:sz w:val="19"/>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jc w:val="start"/>
      <w:outlineLvl w:val="0"/>
    </w:pPr>
    <w:rPr/>
  </w:style>
  <w:style w:type="paragraph" w:styleId="Heading2">
    <w:name w:val="heading 2"/>
    <w:basedOn w:val="Normal"/>
    <w:next w:val="Normal"/>
    <w:qFormat/>
    <w:pPr>
      <w:numPr>
        <w:ilvl w:val="1"/>
        <w:numId w:val="1"/>
      </w:numPr>
      <w:spacing w:before="0" w:after="240"/>
      <w:outlineLvl w:val="1"/>
    </w:pPr>
    <w:rPr>
      <w:lang w:eastAsia="en-US"/>
    </w:rPr>
  </w:style>
  <w:style w:type="paragraph" w:styleId="Heading3">
    <w:name w:val="heading 3"/>
    <w:basedOn w:val="Normal"/>
    <w:next w:val="Normal"/>
    <w:qFormat/>
    <w:pPr>
      <w:numPr>
        <w:ilvl w:val="2"/>
        <w:numId w:val="1"/>
      </w:numPr>
      <w:spacing w:before="0" w:after="240"/>
      <w:outlineLvl w:val="2"/>
    </w:pPr>
    <w:rPr>
      <w:lang w:eastAsia="en-US"/>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2z0">
    <w:name w:val="WW8Num2z0"/>
    <w:qFormat/>
    <w:rPr>
      <w:rFonts w:ascii="Times New Roman" w:hAnsi="Times New Roman" w:cs="Times New Roman"/>
      <w:b/>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2z1">
    <w:name w:val="WW8Num2z1"/>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DefaultParagraphFont">
    <w:name w:val="Default Paragraph Font"/>
    <w:qFormat/>
    <w:rPr/>
  </w:style>
  <w:style w:type="character" w:styleId="LetterhdFont">
    <w:name w:val="LetterhdFont"/>
    <w:qFormat/>
    <w:rPr>
      <w:rFonts w:ascii="Garamond" w:hAnsi="Garamond" w:cs="Garamond"/>
      <w:caps w:val="false"/>
      <w:smallCaps w:val="false"/>
      <w:color w:val="auto"/>
      <w:w w:val="100"/>
      <w:kern w:val="0"/>
      <w:sz w:val="18"/>
      <w:u w:val="none"/>
      <w:lang w:val="en-US"/>
    </w:rPr>
  </w:style>
  <w:style w:type="character" w:styleId="FootnoteCharacters">
    <w:name w:val="Footnote Characters"/>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LetterHeaderAddress">
    <w:name w:val="LetterHeaderAddress"/>
    <w:basedOn w:val="Header"/>
    <w:next w:val="Normal"/>
    <w:qFormat/>
    <w:pPr>
      <w:tabs>
        <w:tab w:val="clear" w:pos="4680"/>
        <w:tab w:val="clear" w:pos="9360"/>
      </w:tabs>
      <w:jc w:val="start"/>
    </w:pPr>
    <w:rPr>
      <w:rFonts w:ascii="Garamond" w:hAnsi="Garamond" w:cs="Garamond"/>
      <w:b/>
      <w:smallCaps/>
      <w:sz w:val="18"/>
    </w:rPr>
  </w:style>
  <w:style w:type="paragraph" w:styleId="LetterHeadName">
    <w:name w:val="LetterHeadName"/>
    <w:basedOn w:val="LetterHeaderAddress"/>
    <w:next w:val="Normal"/>
    <w:qFormat/>
    <w:pPr>
      <w:jc w:val="center"/>
    </w:pPr>
    <w:rPr>
      <w:b w:val="false"/>
      <w:spacing w:val="12"/>
      <w:sz w:val="46"/>
    </w:rPr>
  </w:style>
  <w:style w:type="paragraph" w:styleId="LetterHeadAtt">
    <w:name w:val="LetterHeadAtt"/>
    <w:basedOn w:val="Header"/>
    <w:next w:val="Normal"/>
    <w:qFormat/>
    <w:pPr>
      <w:tabs>
        <w:tab w:val="clear" w:pos="4680"/>
        <w:tab w:val="clear" w:pos="9360"/>
      </w:tabs>
      <w:jc w:val="center"/>
    </w:pPr>
    <w:rPr>
      <w:rFonts w:ascii="Garamond" w:hAnsi="Garamond" w:cs="Garamond"/>
      <w:b/>
      <w:smallCaps/>
      <w:sz w:val="18"/>
    </w:rPr>
  </w:style>
  <w:style w:type="paragraph" w:styleId="LetterHeaderEmail">
    <w:name w:val="LetterHeaderEmail"/>
    <w:basedOn w:val="LetterHeaderAddress"/>
    <w:next w:val="Normal"/>
    <w:qFormat/>
    <w:pPr>
      <w:jc w:val="end"/>
    </w:pPr>
    <w:rPr>
      <w:b w:val="false"/>
      <w:caps w:val="false"/>
      <w:smallCaps w:val="false"/>
    </w:rPr>
  </w:style>
  <w:style w:type="paragraph" w:styleId="request">
    <w:name w:val="request"/>
    <w:basedOn w:val="Heading1"/>
    <w:qFormat/>
    <w:pPr>
      <w:numPr>
        <w:ilvl w:val="0"/>
        <w:numId w:val="0"/>
      </w:numPr>
      <w:outlineLvl w:val="9"/>
    </w:pPr>
    <w:rPr>
      <w:rFonts w:ascii="Times New Roman" w:hAnsi="Times New Roman" w:cs="Times New Roman"/>
      <w:caps/>
      <w:sz w:val="24"/>
      <w:u w:val="single"/>
    </w:rPr>
  </w:style>
  <w:style w:type="paragraph" w:styleId="response">
    <w:name w:val="response"/>
    <w:basedOn w:val="Heading2"/>
    <w:qFormat/>
    <w:pPr>
      <w:numPr>
        <w:ilvl w:val="0"/>
        <w:numId w:val="0"/>
      </w:numPr>
      <w:outlineLvl w:val="9"/>
    </w:pPr>
    <w:rPr>
      <w:rFonts w:ascii="Times New Roman" w:hAnsi="Times New Roman" w:cs="Times New Roman"/>
      <w:b/>
      <w:i/>
      <w:caps/>
    </w:rPr>
  </w:style>
  <w:style w:type="paragraph" w:styleId="Footer">
    <w:name w:val="footer"/>
    <w:basedOn w:val="Normal"/>
    <w:pPr>
      <w:widowControl w:val="false"/>
      <w:tabs>
        <w:tab w:val="clear" w:pos="720"/>
        <w:tab w:val="center" w:pos="4680" w:leader="none"/>
        <w:tab w:val="right" w:pos="9360" w:leader="none"/>
      </w:tabs>
      <w:jc w:val="start"/>
    </w:pPr>
    <w:rPr>
      <w:lang w:eastAsia="en-US"/>
    </w:rPr>
  </w:style>
  <w:style w:type="paragraph" w:styleId="FootnoteText">
    <w:name w:val="footnote text"/>
    <w:basedOn w:val="Normal"/>
    <w:pPr/>
    <w:rPr>
      <w:sz w:val="20"/>
    </w:rPr>
  </w:style>
  <w:style w:type="paragraph" w:styleId="TableofAuthorities">
    <w:name w:val="Table of Authorities"/>
    <w:basedOn w:val="Normal"/>
    <w:next w:val="Normal"/>
    <w:qFormat/>
    <w:pPr>
      <w:ind w:hanging="720" w:start="720" w:end="0"/>
    </w:pPr>
    <w:rPr/>
  </w:style>
  <w:style w:type="paragraph" w:styleId="TOC1">
    <w:name w:val="toc 1"/>
    <w:basedOn w:val="Normal"/>
    <w:next w:val="Normal"/>
    <w:pPr>
      <w:tabs>
        <w:tab w:val="left" w:pos="720" w:leader="none"/>
        <w:tab w:val="right" w:pos="9360" w:leader="none"/>
      </w:tabs>
    </w:pPr>
    <w:rPr/>
  </w:style>
  <w:style w:type="paragraph" w:styleId="TOC2">
    <w:name w:val="toc 2"/>
    <w:basedOn w:val="Normal"/>
    <w:next w:val="Normal"/>
    <w:pPr>
      <w:tabs>
        <w:tab w:val="clear" w:pos="720"/>
        <w:tab w:val="left" w:pos="1440" w:leader="none"/>
        <w:tab w:val="right" w:pos="9360" w:leader="none"/>
      </w:tabs>
      <w:ind w:hanging="0" w:start="720" w:end="0"/>
    </w:pPr>
    <w:rPr/>
  </w:style>
  <w:style w:type="paragraph" w:styleId="TOC3">
    <w:name w:val="toc 3"/>
    <w:basedOn w:val="Normal"/>
    <w:next w:val="Normal"/>
    <w:pPr>
      <w:tabs>
        <w:tab w:val="clear" w:pos="720"/>
        <w:tab w:val="left" w:pos="2160" w:leader="none"/>
        <w:tab w:val="right" w:pos="9360" w:leader="none"/>
      </w:tabs>
      <w:ind w:hanging="0" w:start="1440" w:end="0"/>
    </w:pPr>
    <w:rPr/>
  </w:style>
  <w:style w:type="paragraph" w:styleId="TOC4">
    <w:name w:val="toc 4"/>
    <w:basedOn w:val="Normal"/>
    <w:next w:val="Normal"/>
    <w:pPr>
      <w:tabs>
        <w:tab w:val="clear" w:pos="720"/>
        <w:tab w:val="left" w:pos="2880" w:leader="none"/>
        <w:tab w:val="right" w:pos="9360" w:leader="none"/>
      </w:tabs>
      <w:ind w:hanging="0" w:start="2160" w:end="0"/>
    </w:pPr>
    <w:rPr/>
  </w:style>
  <w:style w:type="paragraph" w:styleId="TOC5">
    <w:name w:val="toc 5"/>
    <w:basedOn w:val="Normal"/>
    <w:next w:val="Normal"/>
    <w:pPr>
      <w:tabs>
        <w:tab w:val="clear" w:pos="720"/>
        <w:tab w:val="left" w:pos="3600" w:leader="none"/>
        <w:tab w:val="right" w:pos="9360" w:leader="none"/>
      </w:tabs>
      <w:ind w:hanging="0" w:start="2880" w:end="0"/>
    </w:pPr>
    <w:rPr/>
  </w:style>
  <w:style w:type="paragraph" w:styleId="TOC6">
    <w:name w:val="toc 6"/>
    <w:basedOn w:val="Normal"/>
    <w:next w:val="Normal"/>
    <w:pPr>
      <w:tabs>
        <w:tab w:val="clear" w:pos="720"/>
        <w:tab w:val="left" w:pos="4320" w:leader="none"/>
        <w:tab w:val="right" w:pos="9360" w:leader="none"/>
      </w:tabs>
      <w:ind w:hanging="0" w:start="3600" w:end="0"/>
    </w:pPr>
    <w:rPr/>
  </w:style>
  <w:style w:type="paragraph" w:styleId="LetterHeadPhone">
    <w:name w:val="LetterHeadPhone"/>
    <w:basedOn w:val="LetterHeaderAddress"/>
    <w:next w:val="Normal"/>
    <w:qFormat/>
    <w:pPr>
      <w:jc w:val="end"/>
    </w:pPr>
    <w:rPr>
      <w:b w:val="false"/>
      <w:caps w:val="false"/>
      <w:smallCaps w:val="false"/>
    </w:rPr>
  </w:style>
  <w:style w:type="paragraph" w:styleId="LetterhdWeb">
    <w:name w:val="LetterhdWeb"/>
    <w:basedOn w:val="LetterHeadPhone"/>
    <w:next w:val="Normal"/>
    <w:qFormat/>
    <w:pPr/>
    <w:rPr>
      <w:b/>
    </w:rPr>
  </w:style>
  <w:style w:type="paragraph" w:styleId="PathID">
    <w:name w:val="PathID"/>
    <w:basedOn w:val="Normal"/>
    <w:qFormat/>
    <w:pPr>
      <w:jc w:val="start"/>
    </w:pPr>
    <w:rPr>
      <w:sz w:val="12"/>
      <w:effect w:val="blinkBackground"/>
    </w:rPr>
  </w:style>
  <w:style w:type="paragraph" w:styleId="NormLeftJust">
    <w:name w:val="NormLeftJust"/>
    <w:basedOn w:val="Normal"/>
    <w:next w:val="Normal"/>
    <w:qFormat/>
    <w:pPr>
      <w:widowControl w:val="false"/>
      <w:jc w:val="start"/>
    </w:pPr>
    <w:rPr>
      <w:lang w:eastAsia="en-US"/>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test">
    <w:name w:val="test"/>
    <w:basedOn w:val="Normal"/>
    <w:qFormat/>
    <w:pPr>
      <w:jc w:val="end"/>
    </w:pPr>
    <w:rPr>
      <w:rFonts w:ascii="PTBarnum BT" w:hAnsi="PTBarnum BT" w:cs="PTBarnum BT"/>
      <w:smallCaps/>
      <w:sz w:val="18"/>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2000-07-31T17:06:00Z</dcterms:created>
  <dc:creator>Locke Liddell &amp; Sapp LLP</dc:creator>
  <dc:description/>
  <dc:language>en-CA</dc:language>
  <cp:lastModifiedBy>Locke Liddell &amp; Sapp LLP</cp:lastModifiedBy>
  <dcterms:modified xsi:type="dcterms:W3CDTF">2000-07-31T17:06:00Z</dcterms:modified>
  <cp:revision>2</cp:revision>
  <dc:subject/>
  <dc:title>STEPHEN A</dc:title>
</cp:coreProperties>
</file>