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t>Northern Natural Gas Company</w:t>
        <w:tab/>
        <w:tab/>
        <w:tab/>
        <w:t>Docket No. RP96-272-013</w:t>
      </w:r>
    </w:p>
    <w:p>
      <w:pPr>
        <w:pStyle w:val="Normal"/>
        <w:jc w:val="center"/>
        <w:rPr>
          <w:b/>
        </w:rPr>
      </w:pPr>
      <w:r>
        <w:rPr>
          <w:b/>
        </w:rPr>
      </w:r>
    </w:p>
    <w:p>
      <w:pPr>
        <w:pStyle w:val="Normal"/>
        <w:jc w:val="center"/>
        <w:rPr>
          <w:b/>
        </w:rPr>
      </w:pPr>
      <w:r>
        <w:rPr>
          <w:b/>
        </w:rPr>
        <w:t>ANSWER OF</w:t>
      </w:r>
    </w:p>
    <w:p>
      <w:pPr>
        <w:pStyle w:val="Normal"/>
        <w:jc w:val="center"/>
        <w:rPr>
          <w:b/>
        </w:rPr>
      </w:pPr>
      <w:r>
        <w:rPr>
          <w:b/>
        </w:rPr>
        <w:t>NORTHERN NATURAL GAS COMPANY</w:t>
      </w:r>
    </w:p>
    <w:p>
      <w:pPr>
        <w:pStyle w:val="Normal"/>
        <w:jc w:val="center"/>
        <w:rPr>
          <w:b/>
        </w:rPr>
      </w:pPr>
      <w:r>
        <w:rPr>
          <w:b/>
        </w:rPr>
        <w:t>TO COMMENTS</w:t>
      </w:r>
    </w:p>
    <w:p>
      <w:pPr>
        <w:pStyle w:val="Normal"/>
        <w:jc w:val="center"/>
        <w:rPr>
          <w:b/>
        </w:rPr>
      </w:pPr>
      <w:r>
        <w:rPr>
          <w:b/>
        </w:rPr>
      </w:r>
    </w:p>
    <w:p>
      <w:pPr>
        <w:pStyle w:val="Normal"/>
        <w:jc w:val="center"/>
        <w:rPr>
          <w:b/>
        </w:rPr>
      </w:pPr>
      <w:r>
        <w:rPr>
          <w:b/>
        </w:rPr>
      </w:r>
    </w:p>
    <w:p>
      <w:pPr>
        <w:pStyle w:val="BodyText"/>
        <w:spacing w:lineRule="auto" w:line="480"/>
        <w:rPr/>
      </w:pPr>
      <w:r>
        <w:rPr/>
        <w:tab/>
        <w:t>Pursuant to Rule 213 of the Federal Energy Regulatory Commission’s (Commission) Rules of Practice and Procedure (18 C.F.R. §385.213), Northern Natural Gas Company (Northern) hereby submits its Answer to Comments filed in the above-captioned proceeding.  In support thereof, Northern shows as follows:</w:t>
      </w:r>
    </w:p>
    <w:p>
      <w:pPr>
        <w:pStyle w:val="Normal"/>
        <w:jc w:val="both"/>
        <w:rPr/>
      </w:pPr>
      <w:r>
        <w:rPr/>
      </w:r>
    </w:p>
    <w:p>
      <w:pPr>
        <w:pStyle w:val="Normal"/>
        <w:jc w:val="both"/>
        <w:rPr/>
      </w:pPr>
      <w:r>
        <w:rPr/>
      </w:r>
    </w:p>
    <w:p>
      <w:pPr>
        <w:pStyle w:val="Normal"/>
        <w:jc w:val="center"/>
        <w:rPr>
          <w:b/>
        </w:rPr>
      </w:pPr>
      <w:r>
        <w:rPr>
          <w:b/>
        </w:rPr>
        <w:t>I</w:t>
      </w:r>
    </w:p>
    <w:p>
      <w:pPr>
        <w:pStyle w:val="Normal"/>
        <w:jc w:val="center"/>
        <w:rPr>
          <w:b/>
        </w:rPr>
      </w:pPr>
      <w:r>
        <w:rPr>
          <w:b/>
        </w:rPr>
        <w:t>BACKGROUND</w:t>
      </w:r>
    </w:p>
    <w:p>
      <w:pPr>
        <w:pStyle w:val="Normal"/>
        <w:jc w:val="center"/>
        <w:rPr>
          <w:b/>
        </w:rPr>
      </w:pPr>
      <w:r>
        <w:rPr>
          <w:b/>
        </w:rPr>
      </w:r>
    </w:p>
    <w:p>
      <w:pPr>
        <w:pStyle w:val="BodyText"/>
        <w:spacing w:lineRule="auto" w:line="480"/>
        <w:rPr/>
      </w:pPr>
      <w:r>
        <w:rPr/>
        <w:tab/>
        <w:t>On October 29, 1999, Northern filed tariff sheets to implement a specific negotiated rate transaction (the “Transaction”) with Enron North America Corporation (“ENA”).  On November 23, 1999, the Commission issued its Order Accepting Tariff Sheets Subject to Conditions (“November 23 Order”).  The November 23 Order accepted the tariff sheets subject to Northern filing further explanation of the Transaction regarding fuel and accounting records.  On December 8, 1999, Northern filed its explanation of the Transaction.  On December 23, 1999, GPM Gas Corporation (GPM) filed its Comments on Compliance Filing.  GPM states that it is still concerned about possible cost-shifting resulting from the Transaction.  GPM states that Northern did not address the concern about recordkeeping for fuel allowances.  Further, GPM requests that the Commission rule in this proceeding that if Northern includes a discount adjustment for the Transaction in its next general rate proceeding, it will be summarily rejected and that Northern must file all of the information associated with the Transaction in its next rate case.</w:t>
      </w:r>
    </w:p>
    <w:p>
      <w:pPr>
        <w:pStyle w:val="Normal"/>
        <w:jc w:val="center"/>
        <w:rPr>
          <w:b/>
        </w:rPr>
      </w:pPr>
      <w:r>
        <w:rPr>
          <w:b/>
        </w:rPr>
        <w:t>II</w:t>
      </w:r>
    </w:p>
    <w:p>
      <w:pPr>
        <w:pStyle w:val="Normal"/>
        <w:jc w:val="center"/>
        <w:rPr>
          <w:b/>
        </w:rPr>
      </w:pPr>
      <w:r>
        <w:rPr>
          <w:b/>
        </w:rPr>
        <w:t>ANSWER</w:t>
      </w:r>
    </w:p>
    <w:p>
      <w:pPr>
        <w:pStyle w:val="Normal"/>
        <w:jc w:val="center"/>
        <w:rPr>
          <w:b/>
        </w:rPr>
      </w:pPr>
      <w:r>
        <w:rPr>
          <w:b/>
        </w:rPr>
      </w:r>
    </w:p>
    <w:p>
      <w:pPr>
        <w:pStyle w:val="BodyText2"/>
        <w:spacing w:lineRule="auto" w:line="480"/>
        <w:jc w:val="both"/>
        <w:rPr/>
      </w:pPr>
      <w:r>
        <w:rPr/>
        <w:tab/>
        <w:t>Northern did address the recordkeeping as to fuel.  Northern stated in its December 8 Filing that ENA would pay the tariff fuel and that this charge will be accounted for and included in Northern’s fuel tracker as provided in Northern’s tariff.</w:t>
      </w:r>
    </w:p>
    <w:p>
      <w:pPr>
        <w:pStyle w:val="BodyText2"/>
        <w:spacing w:lineRule="auto" w:line="480"/>
        <w:ind w:firstLine="720" w:end="0"/>
        <w:jc w:val="both"/>
        <w:rPr/>
      </w:pPr>
      <w:r>
        <w:rPr/>
        <w:t xml:space="preserve">GPM’s request regarding Northern’s next rate case is inappropriate and premature.  GPM, effectively, is asking the Commission to grant summary judgment now on an issue that will not arise until 2003.  The settlement of Northern’s general rate proceeding in Docket No. RP09-203, </w:t>
      </w:r>
      <w:r>
        <w:rPr>
          <w:u w:val="single"/>
        </w:rPr>
        <w:t>et al.</w:t>
      </w:r>
      <w:r>
        <w:rPr/>
        <w:t xml:space="preserve"> filed on April 16, 1999 specifically states that Northern will not file a general Section 4 rate proceeding prior to November 1, 2003.  The Transaction has a one-year term.  It will not even be included in Northern’s rate case in 2003.  Furthermore, what the Commission policy will be in 2003 concerning negotiated rates and discounts is unknown at this point.</w:t>
      </w:r>
    </w:p>
    <w:p>
      <w:pPr>
        <w:pStyle w:val="BodyText2"/>
        <w:rPr>
          <w:b/>
        </w:rPr>
      </w:pPr>
      <w:r>
        <w:rPr>
          <w:b/>
        </w:rPr>
      </w:r>
    </w:p>
    <w:p>
      <w:pPr>
        <w:pStyle w:val="Normal"/>
        <w:jc w:val="center"/>
        <w:rPr>
          <w:b/>
        </w:rPr>
      </w:pPr>
      <w:r>
        <w:rPr>
          <w:b/>
        </w:rPr>
        <w:t>CONCLUSION</w:t>
      </w:r>
    </w:p>
    <w:p>
      <w:pPr>
        <w:pStyle w:val="Normal"/>
        <w:jc w:val="center"/>
        <w:rPr>
          <w:b/>
        </w:rPr>
      </w:pPr>
      <w:r>
        <w:rPr>
          <w:b/>
        </w:rPr>
      </w:r>
    </w:p>
    <w:p>
      <w:pPr>
        <w:pStyle w:val="BodyText"/>
        <w:spacing w:lineRule="auto" w:line="480"/>
        <w:rPr/>
      </w:pPr>
      <w:r>
        <w:rPr/>
        <w:tab/>
        <w:tab/>
        <w:t>WHEREFORE, for the reasons set forth herein, Northern respectfully requests that the Commission accept Northern’s revised tariff sheets to be effective November 1, 1999.</w:t>
      </w:r>
    </w:p>
    <w:p>
      <w:pPr>
        <w:pStyle w:val="Normal"/>
        <w:jc w:val="both"/>
        <w:rPr/>
      </w:pPr>
      <w:r>
        <w:rPr/>
      </w:r>
    </w:p>
    <w:p>
      <w:pPr>
        <w:pStyle w:val="Normal"/>
        <w:jc w:val="both"/>
        <w:rPr/>
      </w:pPr>
      <w:r>
        <w:rPr/>
        <w:t>Respectfully submitted,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tab/>
      </w:r>
    </w:p>
    <w:p>
      <w:pPr>
        <w:pStyle w:val="Normal"/>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DRD\answer GPM ENA</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2000-01-06T11:58:00Z</dcterms:created>
  <dc:creator>..</dc:creator>
  <dc:description/>
  <dc:language>en-CA</dc:language>
  <cp:lastModifiedBy>Enron</cp:lastModifiedBy>
  <dcterms:modified xsi:type="dcterms:W3CDTF">2000-01-06T12:23:00Z</dcterms:modified>
  <cp:revision>3</cp:revision>
  <dc:subject/>
  <dc:title>ANSWER OF</dc:title>
</cp:coreProperties>
</file>