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media/image1.png" ContentType="image/png"/>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tbl>
      <w:tblPr>
        <w:tblW w:w="9468" w:type="dxa"/>
        <w:jc w:val="start"/>
        <w:tblInd w:w="0" w:type="dxa"/>
        <w:tblLayout w:type="fixed"/>
        <w:tblCellMar>
          <w:top w:w="0" w:type="dxa"/>
          <w:start w:w="108" w:type="dxa"/>
          <w:bottom w:w="0" w:type="dxa"/>
          <w:end w:w="108" w:type="dxa"/>
        </w:tblCellMar>
      </w:tblPr>
      <w:tblGrid>
        <w:gridCol w:w="5868"/>
        <w:gridCol w:w="3600"/>
      </w:tblGrid>
      <w:tr>
        <w:trPr/>
        <w:tc>
          <w:tcPr>
            <w:tcW w:w="5868" w:type="dxa"/>
            <w:tcBorders/>
          </w:tcPr>
          <w:p>
            <w:pPr>
              <w:pStyle w:val="Normal"/>
              <w:spacing w:before="20" w:after="0"/>
              <w:rPr>
                <w:sz w:val="24"/>
              </w:rPr>
            </w:pPr>
            <w:r>
              <w:rPr>
                <w:sz w:val="24"/>
              </w:rPr>
              <w:drawing>
                <wp:inline distT="0" distB="0" distL="0" distR="0">
                  <wp:extent cx="995680" cy="989965"/>
                  <wp:effectExtent l="0" t="0" r="0" b="0"/>
                  <wp:docPr id="1"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title=""/>
                          <pic:cNvPicPr>
                            <a:picLocks noChangeAspect="1" noChangeArrowheads="1"/>
                          </pic:cNvPicPr>
                        </pic:nvPicPr>
                        <pic:blipFill>
                          <a:blip r:embed="rId2"/>
                          <a:srcRect l="-39" t="-39" r="-39" b="-39"/>
                          <a:stretch>
                            <a:fillRect/>
                          </a:stretch>
                        </pic:blipFill>
                        <pic:spPr bwMode="auto">
                          <a:xfrm>
                            <a:off x="0" y="0"/>
                            <a:ext cx="995680" cy="989965"/>
                          </a:xfrm>
                          <a:prstGeom prst="rect">
                            <a:avLst/>
                          </a:prstGeom>
                          <a:noFill/>
                        </pic:spPr>
                      </pic:pic>
                    </a:graphicData>
                  </a:graphic>
                </wp:inline>
              </w:drawing>
            </w:r>
          </w:p>
        </w:tc>
        <w:tc>
          <w:tcPr>
            <w:tcW w:w="3600" w:type="dxa"/>
            <w:tcBorders/>
          </w:tcPr>
          <w:p>
            <w:pPr>
              <w:pStyle w:val="Normal"/>
              <w:snapToGrid w:val="false"/>
              <w:rPr>
                <w:rFonts w:ascii="Times New Roman" w:hAnsi="Times New Roman" w:cs="Times New Roman"/>
                <w:b/>
              </w:rPr>
            </w:pPr>
            <w:r>
              <w:rPr>
                <w:rFonts w:cs="Times New Roman" w:ascii="Times New Roman" w:hAnsi="Times New Roman"/>
                <w:b/>
              </w:rPr>
            </w:r>
          </w:p>
          <w:p>
            <w:pPr>
              <w:pStyle w:val="Normal"/>
              <w:rPr>
                <w:rFonts w:ascii="Times New Roman" w:hAnsi="Times New Roman" w:cs="Times New Roman"/>
                <w:b/>
              </w:rPr>
            </w:pPr>
            <w:r>
              <w:rPr>
                <w:rFonts w:cs="Times New Roman" w:ascii="Times New Roman" w:hAnsi="Times New Roman"/>
                <w:b/>
              </w:rPr>
            </w:r>
          </w:p>
          <w:p>
            <w:pPr>
              <w:pStyle w:val="Normal"/>
              <w:rPr>
                <w:rFonts w:ascii="Times New Roman" w:hAnsi="Times New Roman" w:cs="Times New Roman"/>
                <w:b/>
              </w:rPr>
            </w:pPr>
            <w:r>
              <w:rPr>
                <w:rFonts w:cs="Times New Roman" w:ascii="Times New Roman" w:hAnsi="Times New Roman"/>
                <w:b/>
              </w:rPr>
            </w:r>
          </w:p>
          <w:p>
            <w:pPr>
              <w:pStyle w:val="Normal"/>
              <w:rPr>
                <w:rFonts w:ascii="Times New Roman" w:hAnsi="Times New Roman" w:cs="Times New Roman"/>
                <w:b/>
              </w:rPr>
            </w:pPr>
            <w:r>
              <w:rPr>
                <w:rFonts w:cs="Times New Roman" w:ascii="Times New Roman" w:hAnsi="Times New Roman"/>
                <w:b/>
              </w:rPr>
              <w:t>INTEROFFICE</w:t>
            </w:r>
          </w:p>
          <w:p>
            <w:pPr>
              <w:pStyle w:val="Normal"/>
              <w:rPr>
                <w:rFonts w:ascii="Tms Rmn;Times New Roman" w:hAnsi="Tms Rmn;Times New Roman" w:cs="Tms Rmn;Times New Roman"/>
              </w:rPr>
            </w:pPr>
            <w:r>
              <w:rPr>
                <w:rFonts w:cs="Times New Roman" w:ascii="Times New Roman" w:hAnsi="Times New Roman"/>
                <w:b/>
              </w:rPr>
              <w:t>MEMORANDUM</w:t>
            </w:r>
          </w:p>
        </w:tc>
      </w:tr>
    </w:tbl>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t>To:</w:t>
        <w:tab/>
        <w:tab/>
        <w:t>ENA and ENA Trading Affiliates,</w:t>
        <w:tab/>
        <w:tab/>
        <w:tab/>
        <w:t xml:space="preserve">Department:  </w:t>
        <w:tab/>
        <w:t>ENA - Legal</w:t>
      </w:r>
    </w:p>
    <w:p>
      <w:pPr>
        <w:pStyle w:val="Normal"/>
        <w:tabs>
          <w:tab w:val="clear" w:pos="720"/>
          <w:tab w:val="right" w:pos="900" w:leader="none"/>
        </w:tabs>
        <w:ind w:hanging="1440" w:start="1440" w:end="0"/>
        <w:rPr>
          <w:rFonts w:ascii="Times New Roman" w:hAnsi="Times New Roman" w:cs="Times New Roman"/>
        </w:rPr>
      </w:pPr>
      <w:r>
        <w:rPr>
          <w:rFonts w:cs="Times New Roman" w:ascii="Times New Roman" w:hAnsi="Times New Roman"/>
        </w:rPr>
        <w:tab/>
        <w:tab/>
        <w:t>Officers and Employees</w:t>
      </w:r>
    </w:p>
    <w:p>
      <w:pPr>
        <w:pStyle w:val="Normal"/>
        <w:tabs>
          <w:tab w:val="clear" w:pos="720"/>
          <w:tab w:val="right" w:pos="900" w:leader="none"/>
        </w:tabs>
        <w:ind w:hanging="1440" w:start="1440" w:end="0"/>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t>From:</w:t>
        <w:tab/>
        <w:tab/>
        <w:t>Mark Taylor, Vice President</w:t>
        <w:tab/>
        <w:tab/>
        <w:tab/>
        <w:t>Date:</w:t>
        <w:tab/>
      </w:r>
      <w:r>
        <w:rPr>
          <w:rFonts w:cs="Times New Roman" w:ascii="Times New Roman" w:hAnsi="Times New Roman"/>
        </w:rPr>
        <w:fldChar w:fldCharType="begin"/>
      </w:r>
      <w:r>
        <w:rPr>
          <w:rFonts w:cs="Times New Roman" w:ascii="Times New Roman" w:hAnsi="Times New Roman"/>
        </w:rPr>
        <w:instrText xml:space="preserve"> DATE \@"MMMM\ d', 'yyyy" </w:instrText>
      </w:r>
      <w:r>
        <w:rPr>
          <w:rFonts w:cs="Times New Roman" w:ascii="Times New Roman" w:hAnsi="Times New Roman"/>
        </w:rPr>
        <w:fldChar w:fldCharType="separate"/>
      </w:r>
      <w:r>
        <w:rPr>
          <w:rFonts w:cs="Times New Roman" w:ascii="Times New Roman" w:hAnsi="Times New Roman"/>
        </w:rPr>
        <w:t>September 28, 2025</w:t>
      </w:r>
      <w:r>
        <w:rPr>
          <w:rFonts w:cs="Times New Roman" w:ascii="Times New Roman" w:hAnsi="Times New Roman"/>
        </w:rPr>
        <w:fldChar w:fldCharType="end"/>
      </w:r>
    </w:p>
    <w:p>
      <w:pPr>
        <w:pStyle w:val="Normal"/>
        <w:rPr>
          <w:rFonts w:ascii="Times New Roman" w:hAnsi="Times New Roman" w:cs="Times New Roman"/>
        </w:rPr>
      </w:pPr>
      <w:r>
        <w:rPr>
          <w:rFonts w:cs="Times New Roman" w:ascii="Times New Roman" w:hAnsi="Times New Roman"/>
        </w:rPr>
        <w:tab/>
        <w:tab/>
        <w:t xml:space="preserve"> and Assistant General Counsel</w:t>
      </w:r>
    </w:p>
    <w:p>
      <w:pPr>
        <w:pStyle w:val="Normal"/>
        <w:rPr>
          <w:rFonts w:ascii="Times New Roman" w:hAnsi="Times New Roman" w:cs="Times New Roman"/>
        </w:rPr>
      </w:pPr>
      <w:r>
        <w:rPr>
          <w:rFonts w:cs="Times New Roman" w:ascii="Times New Roman" w:hAnsi="Times New Roman"/>
        </w:rPr>
        <w:tab/>
        <w:tab/>
      </w:r>
    </w:p>
    <w:p>
      <w:pPr>
        <w:pStyle w:val="Normal"/>
        <w:rPr>
          <w:rFonts w:ascii="Times New Roman" w:hAnsi="Times New Roman" w:cs="Times New Roman"/>
        </w:rPr>
      </w:pPr>
      <w:r>
        <w:rPr>
          <w:rFonts w:cs="Times New Roman" w:ascii="Times New Roman" w:hAnsi="Times New Roman"/>
        </w:rPr>
        <w:t>Subject:</w:t>
        <w:tab/>
        <w:t>Enron North America Corp. NYMEX Hedge Exemption Applications</w:t>
      </w:r>
    </w:p>
    <w:p>
      <w:pPr>
        <w:pStyle w:val="Normal"/>
        <w:rPr>
          <w:rFonts w:ascii="Times New Roman" w:hAnsi="Times New Roman" w:cs="Times New Roman"/>
        </w:rPr>
      </w:pPr>
      <w:r>
        <w:rPr>
          <w:rFonts w:cs="Times New Roman" w:ascii="Times New Roman" w:hAnsi="Times New Roman"/>
        </w:rPr>
      </w:r>
    </w:p>
    <w:p>
      <w:pPr>
        <w:pStyle w:val="Normal"/>
        <w:pBdr>
          <w:top w:val="single" w:sz="12" w:space="1" w:color="000000"/>
        </w:pBdr>
        <w:rPr>
          <w:rFonts w:ascii="Times New Roman" w:hAnsi="Times New Roman" w:cs="Times New Roman"/>
          <w:sz w:val="24"/>
        </w:rPr>
      </w:pPr>
      <w:r>
        <w:rPr>
          <w:rFonts w:cs="Times New Roman" w:ascii="Times New Roman" w:hAnsi="Times New Roman"/>
          <w:sz w:val="24"/>
        </w:rPr>
      </w:r>
    </w:p>
    <w:p>
      <w:pPr>
        <w:pStyle w:val="Normal"/>
        <w:pBdr>
          <w:top w:val="single" w:sz="12" w:space="1" w:color="000000"/>
        </w:pBdr>
        <w:jc w:val="both"/>
        <w:rPr>
          <w:rFonts w:ascii="Times New Roman" w:hAnsi="Times New Roman" w:cs="Times New Roman"/>
          <w:sz w:val="24"/>
        </w:rPr>
      </w:pPr>
      <w:r>
        <w:rPr>
          <w:rFonts w:cs="Times New Roman" w:ascii="Times New Roman" w:hAnsi="Times New Roman"/>
          <w:sz w:val="24"/>
        </w:rPr>
        <w:t>We are in the process of preparing applications for position limit exemptions for ENA’s NYMEX energy commodities futures trading.  These applications require that ENA represent whether its officers, employees, owners, or agents have a power of attorney, control or have a financial interest in any other related commodity future(s) account either individually or acting with another person pursuant to express or implied agreement.</w:t>
      </w:r>
    </w:p>
    <w:p>
      <w:pPr>
        <w:pStyle w:val="Normal"/>
        <w:pBdr>
          <w:top w:val="single" w:sz="12" w:space="1" w:color="000000"/>
        </w:pBdr>
        <w:jc w:val="both"/>
        <w:rPr>
          <w:rFonts w:ascii="Times New Roman" w:hAnsi="Times New Roman" w:cs="Times New Roman"/>
          <w:sz w:val="24"/>
        </w:rPr>
      </w:pPr>
      <w:r>
        <w:rPr>
          <w:rFonts w:cs="Times New Roman" w:ascii="Times New Roman" w:hAnsi="Times New Roman"/>
          <w:sz w:val="24"/>
        </w:rPr>
      </w:r>
    </w:p>
    <w:p>
      <w:pPr>
        <w:pStyle w:val="Normal"/>
        <w:pBdr>
          <w:top w:val="single" w:sz="12" w:space="1" w:color="000000"/>
        </w:pBdr>
        <w:jc w:val="both"/>
        <w:rPr/>
      </w:pPr>
      <w:r>
        <w:rPr>
          <w:rFonts w:cs="Times New Roman" w:ascii="Times New Roman" w:hAnsi="Times New Roman"/>
          <w:b/>
          <w:bCs/>
          <w:sz w:val="24"/>
        </w:rPr>
        <w:t>Please direct any responses to my paralegal, Tana Jones, via intercompany email or call her at (713) 853-3399 by the end of business Friday, June 30, 2000</w:t>
      </w:r>
      <w:r>
        <w:rPr>
          <w:rFonts w:cs="Times New Roman" w:ascii="Times New Roman" w:hAnsi="Times New Roman"/>
          <w:sz w:val="24"/>
        </w:rPr>
        <w:t xml:space="preserve"> if you have any power of attorney, control or have a financial interest in any commodity futures account (other than an ENA or ENA trading affiliate account).</w:t>
      </w:r>
    </w:p>
    <w:p>
      <w:pPr>
        <w:pStyle w:val="Normal"/>
        <w:pBdr>
          <w:top w:val="single" w:sz="12" w:space="1" w:color="000000"/>
        </w:pBdr>
        <w:jc w:val="both"/>
        <w:rPr>
          <w:rFonts w:ascii="Times New Roman" w:hAnsi="Times New Roman" w:cs="Times New Roman"/>
          <w:sz w:val="24"/>
        </w:rPr>
      </w:pPr>
      <w:r>
        <w:rPr>
          <w:rFonts w:cs="Times New Roman" w:ascii="Times New Roman" w:hAnsi="Times New Roman"/>
          <w:sz w:val="24"/>
        </w:rPr>
      </w:r>
    </w:p>
    <w:p>
      <w:pPr>
        <w:pStyle w:val="BodyText"/>
        <w:rPr/>
      </w:pPr>
      <w:r>
        <w:rPr/>
        <w:t xml:space="preserve">IF YOU DO NOT HAVE A COMMODITY FUTURES ACCOUNT, </w:t>
      </w:r>
      <w:r>
        <w:rPr>
          <w:u w:val="single"/>
        </w:rPr>
        <w:t>YOU DO NOT NEED TO RESPOND</w:t>
      </w:r>
      <w:r>
        <w:rPr/>
        <w:t xml:space="preserve"> TO THIS REQUEST.</w:t>
      </w:r>
    </w:p>
    <w:p>
      <w:pPr>
        <w:pStyle w:val="BodyText"/>
        <w:rPr/>
      </w:pPr>
      <w:r>
        <w:rPr/>
      </w:r>
    </w:p>
    <w:sectPr>
      <w:footerReference w:type="default" r:id="rId3"/>
      <w:type w:val="nextPage"/>
      <w:pgSz w:w="12240" w:h="15840"/>
      <w:pgMar w:left="1440" w:right="1440" w:gutter="0" w:header="0" w:top="1440" w:footer="72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imes">
    <w:altName w:val="Times New Roman"/>
    <w:charset w:val="00" w:characterSet="windows-1252"/>
    <w:family w:val="roman"/>
    <w:pitch w:val="variable"/>
  </w:font>
  <w:font w:name="Liberation Sans">
    <w:altName w:val="Arial"/>
    <w:charset w:val="01" w:characterSet="utf-8"/>
    <w:family w:val="swiss"/>
    <w:pitch w:val="variable"/>
  </w:font>
  <w:font w:name="Tms Rmn">
    <w:altName w:val="Times New Roman"/>
    <w:charset w:val="00" w:characterSet="windows-1252"/>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tabs>
        <w:tab w:val="clear" w:pos="4320"/>
        <w:tab w:val="left" w:pos="3780" w:leader="none"/>
        <w:tab w:val="center" w:pos="7560" w:leader="none"/>
        <w:tab w:val="right" w:pos="8640" w:leader="none"/>
      </w:tabs>
      <w:rPr>
        <w:rFonts w:ascii="Times New Roman" w:hAnsi="Times New Roman" w:cs="Times New Roman"/>
        <w:b/>
        <w:sz w:val="16"/>
      </w:rPr>
    </w:pPr>
    <w:r>
      <w:rPr>
        <w:rFonts w:cs="Times New Roman" w:ascii="Times New Roman" w:hAnsi="Times New Roman"/>
        <w:b/>
        <w:sz w:val="16"/>
      </w:rPr>
    </w:r>
  </w:p>
  <w:p>
    <w:pPr>
      <w:pStyle w:val="Footer"/>
      <w:tabs>
        <w:tab w:val="clear" w:pos="4320"/>
        <w:tab w:val="left" w:pos="3780" w:leader="none"/>
        <w:tab w:val="center" w:pos="7560" w:leader="none"/>
        <w:tab w:val="right" w:pos="8640" w:leader="none"/>
      </w:tabs>
      <w:rPr>
        <w:rFonts w:ascii="Times New Roman" w:hAnsi="Times New Roman" w:cs="Times New Roman"/>
        <w:b/>
        <w:sz w:val="12"/>
      </w:rPr>
    </w:pPr>
    <w:r>
      <w:rPr>
        <w:rFonts w:cs="Times New Roman" w:ascii="Times New Roman" w:hAnsi="Times New Roman"/>
        <w:b/>
        <w:sz w:val="12"/>
      </w:rPr>
      <w:fldChar w:fldCharType="begin"/>
    </w:r>
    <w:r>
      <w:rPr>
        <w:sz w:val="12"/>
        <w:b/>
        <w:rFonts w:cs="Times New Roman" w:ascii="Times New Roman" w:hAnsi="Times New Roman"/>
      </w:rPr>
      <w:instrText xml:space="preserve"> FILENAME \p </w:instrText>
    </w:r>
    <w:r>
      <w:rPr>
        <w:sz w:val="12"/>
        <w:b/>
        <w:rFonts w:cs="Times New Roman" w:ascii="Times New Roman" w:hAnsi="Times New Roman"/>
      </w:rPr>
      <w:fldChar w:fldCharType="separate"/>
    </w:r>
    <w:r>
      <w:rPr>
        <w:sz w:val="12"/>
        <w:b/>
        <w:rFonts w:cs="Times New Roman" w:ascii="Times New Roman" w:hAnsi="Times New Roman"/>
      </w:rPr>
      <w:t>/mnt/main-storage/datasets/enron-docs/doc/annual_NYMEX_memo.DOC</w:t>
    </w:r>
    <w:r>
      <w:rPr>
        <w:sz w:val="12"/>
        <w:b/>
        <w:rFonts w:cs="Times New Roman" w:ascii="Times New Roman" w:hAnsi="Times New Roman"/>
      </w:rPr>
      <w:fldChar w:fldCharType="end"/>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85"/>
  <w:defaultTabStop w:val="720"/>
  <w:autoHyphenation w:val="true"/>
  <w:hyphenationZone w:val="0"/>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w:hAnsi="Times" w:eastAsia="Times New Roman" w:cs="Times New Roman"/>
      <w:color w:val="auto"/>
      <w:sz w:val="26"/>
      <w:szCs w:val="20"/>
      <w:lang w:val="en-US" w:bidi="ar-SA" w:eastAsia="zh-CN"/>
    </w:rPr>
  </w:style>
  <w:style w:type="paragraph" w:styleId="Heading3">
    <w:name w:val="heading 3"/>
    <w:basedOn w:val="Normal"/>
    <w:next w:val="NormalIndent"/>
    <w:qFormat/>
    <w:pPr>
      <w:numPr>
        <w:ilvl w:val="2"/>
        <w:numId w:val="1"/>
      </w:numPr>
      <w:ind w:hanging="0" w:start="360" w:end="0"/>
      <w:outlineLvl w:val="2"/>
    </w:pPr>
    <w:rPr>
      <w:b/>
      <w:sz w:val="24"/>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pBdr>
        <w:top w:val="single" w:sz="12" w:space="1" w:color="000000"/>
      </w:pBdr>
      <w:jc w:val="both"/>
    </w:pPr>
    <w:rPr>
      <w:rFonts w:ascii="Times New Roman" w:hAnsi="Times New Roman" w:cs="Times New Roman"/>
      <w:sz w:val="24"/>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NormalIndent">
    <w:name w:val="Normal Indent"/>
    <w:basedOn w:val="Normal"/>
    <w:qFormat/>
    <w:pPr>
      <w:ind w:hanging="0" w:start="720" w:end="0"/>
    </w:pPr>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tyle>
  <w:style w:type="paragraph" w:styleId="Header">
    <w:name w:val="header"/>
    <w:basedOn w:val="Normal"/>
    <w:pPr>
      <w:tabs>
        <w:tab w:val="clear" w:pos="720"/>
        <w:tab w:val="center" w:pos="4320" w:leader="none"/>
        <w:tab w:val="right" w:pos="8640" w:leader="none"/>
      </w:tabs>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footer" Target="footer1.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57</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2000-06-14T18:32:00Z</dcterms:created>
  <dc:creator>tjones</dc:creator>
  <dc:description/>
  <cp:keywords>Belco</cp:keywords>
  <dc:language>en-CA</dc:language>
  <cp:lastModifiedBy>tjones</cp:lastModifiedBy>
  <cp:lastPrinted>2000-06-14T18:47:00Z</cp:lastPrinted>
  <dcterms:modified xsi:type="dcterms:W3CDTF">2000-06-19T16:11:00Z</dcterms:modified>
  <cp:revision>7</cp:revision>
  <dc:subject>Belco</dc:subject>
  <dc:title>memo to Jon Bourne</dc:title>
</cp:coreProperties>
</file>