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rFonts w:ascii="Arial Narrow" w:hAnsi="Arial Narrow" w:cs="Arial Narrow"/>
          <w:sz w:val="18"/>
        </w:rPr>
      </w:pPr>
      <w:r>
        <w:rPr>
          <w:rFonts w:cs="Arial Narrow" w:ascii="Arial Narrow" w:hAnsi="Arial Narrow"/>
          <w:sz w:val="18"/>
        </w:rPr>
        <w:t>DRAFT OF 02/14/2001</w:t>
      </w:r>
    </w:p>
    <w:p>
      <w:pPr>
        <w:pStyle w:val="Normal"/>
        <w:jc w:val="end"/>
        <w:rPr>
          <w:rFonts w:ascii="Arial Narrow" w:hAnsi="Arial Narrow" w:cs="Arial Narrow"/>
          <w:b/>
          <w:bCs/>
          <w:sz w:val="22"/>
          <w:szCs w:val="22"/>
        </w:rPr>
      </w:pPr>
      <w:r>
        <w:rPr>
          <w:rFonts w:cs="Arial Narrow" w:ascii="Arial Narrow" w:hAnsi="Arial Narrow"/>
          <w:b/>
          <w:bCs/>
          <w:sz w:val="22"/>
          <w:szCs w:val="22"/>
        </w:rPr>
      </w:r>
    </w:p>
    <w:p>
      <w:pPr>
        <w:pStyle w:val="Normal"/>
        <w:jc w:val="end"/>
        <w:rPr>
          <w:b/>
          <w:bCs/>
          <w:sz w:val="22"/>
          <w:szCs w:val="22"/>
        </w:rPr>
      </w:pPr>
      <w:r>
        <w:rPr>
          <w:b/>
          <w:bCs/>
          <w:sz w:val="22"/>
          <w:szCs w:val="22"/>
        </w:rPr>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color w:val="FF0000"/>
        </w:rPr>
      </w:pPr>
      <w:r>
        <w:rPr>
          <w:rFonts w:cs="Arial Narrow" w:ascii="Arial Narrow" w:hAnsi="Arial Narrow"/>
          <w:b/>
          <w:color w:val="FF0000"/>
        </w:rPr>
        <w:t>[TO BE INSERTED IF APPLICABLE]</w:t>
      </w:r>
    </w:p>
    <w:p>
      <w:pPr>
        <w:pStyle w:val="Normal"/>
        <w:jc w:val="center"/>
        <w:rPr>
          <w:rFonts w:ascii="Arial Narrow" w:hAnsi="Arial Narrow" w:cs="Arial Narrow"/>
          <w:b/>
          <w:color w:val="FF0000"/>
          <w:sz w:val="18"/>
        </w:rPr>
      </w:pPr>
      <w:r>
        <w:rPr>
          <w:rFonts w:cs="Arial Narrow" w:ascii="Arial Narrow" w:hAnsi="Arial Narrow"/>
          <w:b/>
          <w:color w:val="FF0000"/>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b/>
          <w:sz w:val="18"/>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TO THE EXTENT APPLICAPLE IF CREDIT SUPPORT IS BEING PROVIDED BY COUNTERPARTY ONLY</w:t>
      </w:r>
      <w:r>
        <w:rPr>
          <w:rFonts w:cs="Arial Narrow" w:ascii="Arial Narrow" w:hAnsi="Arial Narrow"/>
          <w:b/>
          <w:color w:val="FF0000"/>
          <w:sz w:val="18"/>
        </w:rPr>
        <w:t>]:</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has a single event, which constitutes “Additional Events of Default”]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rFonts w:ascii="Arial Narrow" w:hAnsi="Arial Narrow" w:cs="Arial Narrow"/>
          <w:b/>
          <w:bCs/>
          <w:color w:val="FF0000"/>
          <w:sz w:val="18"/>
        </w:rPr>
      </w:pPr>
      <w:r>
        <w:rPr>
          <w:rFonts w:cs="Arial Narrow" w:ascii="Arial Narrow" w:hAnsi="Arial Narrow"/>
          <w:b/>
          <w:bCs/>
          <w:color w:val="FF0000"/>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bCs/>
          <w:color w:val="339966"/>
          <w:sz w:val="18"/>
        </w:rPr>
      </w:pPr>
      <w:r>
        <w:rPr>
          <w:rFonts w:cs="Arial Narrow" w:ascii="Arial Narrow" w:hAnsi="Arial Narrow"/>
          <w:b/>
          <w:bCs/>
          <w:color w:val="339966"/>
          <w:sz w:val="18"/>
        </w:rPr>
        <w:t>[with one of the following events being selected]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ind w:hanging="360" w:start="1080" w:end="0"/>
        <w:jc w:val="both"/>
        <w:rPr/>
      </w:pPr>
      <w:r>
        <w:rPr>
          <w:rFonts w:cs="Arial Narrow" w:ascii="Arial Narrow" w:hAnsi="Arial Narrow"/>
          <w:sz w:val="18"/>
        </w:rPr>
        <w:t>"(g)</w:t>
        <w:tab/>
        <w:t xml:space="preserve">Counterparty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sz w:val="18"/>
        </w:rPr>
        <w:footnoteReference w:id="2"/>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ENA;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or $__________ with respect to Counterparty’s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w:t>
        <w:tab/>
        <w:t>if a Guaranty is required to support Counterparty's obligations under the Confirmation, the Guaranty shall expire or be terminated or the Credit Support Provider thereunder shall fail to comply with or perform under the Guaranty; or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BodyText2"/>
        <w:ind w:hanging="1080" w:start="1080" w:end="0"/>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(j)</w:t>
        <w:tab/>
        <w:t>in the case of Counterparty, if _____________ ceases to own directly or indirectly, fifty-one percent (51%) or more of the outstanding capital stock or other equity interests of Counterparty having ordinary voting power."</w:t>
      </w:r>
    </w:p>
    <w:p>
      <w:pPr>
        <w:pStyle w:val="BodyText2"/>
        <w:ind w:hanging="1080" w:start="1080" w:end="0"/>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has multiple events, which constitute “Additional Events of Default”]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 xml:space="preserve">Counterparty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sz w:val="18"/>
        </w:rPr>
        <w:footnoteReference w:id="3"/>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ENA;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or $__________ with respect to Counterparty’s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w:t>
        <w:tab/>
        <w:t>if a Guaranty is required to support Counterparty's obligations under the Confirmation, the Guaranty shall expire or be terminated or the Credit Support Provider thereunder shall fail to comply with or perform under the Guaranty; or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BodyTextIndent3"/>
        <w:rPr/>
      </w:pPr>
      <w:r>
        <w:rPr/>
        <w:t>(j)</w:t>
        <w:tab/>
        <w:t>in the case of Counterparty, if _____________ ceases to own directly or indirectly, fifty-one percent (51%) or more of the outstanding capital stock or other equity interests of Counterparty having ordinary voting power."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COUNTERPARTY PROVIDES A GUARANTY]</w:t>
      </w:r>
      <w:r>
        <w:rPr>
          <w:rFonts w:cs="Arial Narrow" w:ascii="Arial Narrow" w:hAnsi="Arial Narrow"/>
          <w:b/>
          <w:color w:val="FF0000"/>
          <w:sz w:val="18"/>
        </w:rPr>
        <w:t>:</w:t>
      </w:r>
    </w:p>
    <w:p>
      <w:pPr>
        <w:pStyle w:val="Normal"/>
        <w:ind w:hanging="720" w:start="720" w:end="0"/>
        <w:jc w:val="both"/>
        <w:rPr>
          <w:rFonts w:ascii="Arial Narrow" w:hAnsi="Arial Narrow" w:cs="Arial Narrow"/>
          <w:b/>
          <w:color w:val="FF0000"/>
          <w:sz w:val="18"/>
        </w:rPr>
      </w:pPr>
      <w:r>
        <w:rPr>
          <w:rFonts w:cs="Arial Narrow" w:ascii="Arial Narrow" w:hAnsi="Arial Narrow"/>
          <w:b/>
          <w:color w:val="FF0000"/>
          <w:sz w:val="18"/>
        </w:rPr>
      </w:r>
    </w:p>
    <w:p>
      <w:pPr>
        <w:pStyle w:val="Normal"/>
        <w:ind w:hanging="360" w:start="720" w:end="0"/>
        <w:jc w:val="both"/>
        <w:rPr/>
      </w:pPr>
      <w:r>
        <w:rPr>
          <w:rFonts w:cs="Arial Narrow" w:ascii="Arial Narrow" w:hAnsi="Arial Narrow"/>
          <w:sz w:val="18"/>
        </w:rPr>
        <w:t>(ii)</w:t>
        <w:tab/>
        <w:t xml:space="preserve">Section 3(d) of </w:t>
      </w:r>
      <w:r>
        <w:rPr>
          <w:rFonts w:cs="Arial Narrow" w:ascii="Arial Narrow" w:hAnsi="Arial Narrow"/>
          <w:sz w:val="18"/>
          <w:u w:val="single"/>
        </w:rPr>
        <w:t>Annex A</w:t>
      </w:r>
      <w:r>
        <w:rPr>
          <w:rFonts w:cs="Arial Narrow" w:ascii="Arial Narrow" w:hAnsi="Arial Narrow"/>
          <w:sz w:val="18"/>
        </w:rPr>
        <w:t xml:space="preserve"> is amended to read as follows:</w:t>
      </w:r>
    </w:p>
    <w:p>
      <w:pPr>
        <w:pStyle w:val="Normal"/>
        <w:ind w:hanging="360"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sz w:val="18"/>
        </w:rPr>
      </w:pPr>
      <w:r>
        <w:rPr>
          <w:rFonts w:cs="Arial Narrow" w:ascii="Arial Narrow" w:hAnsi="Arial Narrow"/>
          <w:sz w:val="18"/>
        </w:rPr>
        <w:t>"(d) the institution with respect to the Defaulting Party or its Credit Support Provider, if any, of a bankruptcy, reorganization, moratorium, liquidation or similar insolvency proceeding or other relief under any bankruptcy or insolvency law affecting creditors’ rights or a petition is presented or instituted for its winding-up or liquidation (and, if the proceeding is instituted against it, it remains undismissed for 30 days)."</w:t>
      </w:r>
    </w:p>
    <w:p>
      <w:pPr>
        <w:pStyle w:val="Normal"/>
        <w:ind w:hanging="720" w:start="720" w:end="0"/>
        <w:jc w:val="both"/>
        <w:rPr>
          <w:rFonts w:ascii="Arial Narrow" w:hAnsi="Arial Narrow" w:cs="Arial Narrow"/>
          <w:sz w:val="18"/>
        </w:rPr>
      </w:pPr>
      <w:r>
        <w:rPr>
          <w:rFonts w:cs="Arial Narrow" w:ascii="Arial Narrow" w:hAnsi="Arial Narrow"/>
          <w:sz w:val="18"/>
        </w:rPr>
        <w:tab/>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TO THE EXTENT POSSIBLE IF CREDIT SUPPORT IS BEING PROVIDED BY COUNTERPARTY AND ENA</w:t>
      </w:r>
      <w:r>
        <w:rPr>
          <w:rFonts w:cs="Arial Narrow" w:ascii="Arial Narrow" w:hAnsi="Arial Narrow"/>
          <w:b/>
          <w:color w:val="FF0000"/>
          <w:sz w:val="18"/>
        </w:rPr>
        <w:t>]:</w:t>
      </w:r>
    </w:p>
    <w:p>
      <w:pPr>
        <w:pStyle w:val="Normal"/>
        <w:ind w:hanging="720"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and ENA have a single event, which constitutes “Additional Events of Default”]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rFonts w:ascii="Arial Narrow" w:hAnsi="Arial Narrow" w:cs="Arial Narrow"/>
          <w:b/>
          <w:bCs/>
          <w:color w:val="FF0000"/>
          <w:sz w:val="18"/>
        </w:rPr>
      </w:pPr>
      <w:r>
        <w:rPr>
          <w:rFonts w:cs="Arial Narrow" w:ascii="Arial Narrow" w:hAnsi="Arial Narrow"/>
          <w:b/>
          <w:bCs/>
          <w:color w:val="FF0000"/>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bCs/>
          <w:color w:val="339966"/>
          <w:sz w:val="18"/>
        </w:rPr>
      </w:pPr>
      <w:r>
        <w:rPr>
          <w:rFonts w:cs="Arial Narrow" w:ascii="Arial Narrow" w:hAnsi="Arial Narrow"/>
          <w:b/>
          <w:bCs/>
          <w:color w:val="339966"/>
          <w:sz w:val="18"/>
        </w:rPr>
        <w:t>[with one of the following events being selected]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ind w:hanging="360" w:start="1080" w:end="0"/>
        <w:jc w:val="both"/>
        <w:rPr/>
      </w:pPr>
      <w:r>
        <w:rPr>
          <w:rFonts w:cs="Arial Narrow" w:ascii="Arial Narrow" w:hAnsi="Arial Narrow"/>
          <w:sz w:val="18"/>
        </w:rPr>
        <w:t>"(g)</w:t>
        <w:tab/>
        <w:t xml:space="preserve"> the Defaulting 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color w:val="FF0000"/>
          <w:sz w:val="18"/>
        </w:rPr>
        <w:footnoteReference w:id="4"/>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 xml:space="preserve">$__________ with respect to Counterparty, </w:t>
      </w:r>
      <w:r>
        <w:rPr>
          <w:rFonts w:cs="Arial Narrow" w:ascii="Arial Narrow" w:hAnsi="Arial Narrow"/>
          <w:color w:val="FF0000"/>
          <w:sz w:val="18"/>
        </w:rPr>
        <w:t>[</w:t>
      </w:r>
      <w:r>
        <w:rPr>
          <w:rFonts w:cs="Arial Narrow" w:ascii="Arial Narrow" w:hAnsi="Arial Narrow"/>
          <w:sz w:val="18"/>
        </w:rPr>
        <w:t>and</w:t>
      </w:r>
      <w:r>
        <w:rPr>
          <w:rFonts w:cs="Arial Narrow" w:ascii="Arial Narrow" w:hAnsi="Arial Narrow"/>
          <w:color w:val="FF0000"/>
          <w:sz w:val="18"/>
        </w:rPr>
        <w:t xml:space="preserve"> </w:t>
      </w:r>
      <w:r>
        <w:rPr>
          <w:rFonts w:cs="Arial Narrow" w:ascii="Arial Narrow" w:hAnsi="Arial Narrow"/>
          <w:sz w:val="18"/>
        </w:rPr>
        <w:t>$__________ with respect to Counterparty’s Credit Support Provider</w:t>
      </w:r>
      <w:r>
        <w:rPr>
          <w:rFonts w:cs="Arial Narrow" w:ascii="Arial Narrow" w:hAnsi="Arial Narrow"/>
          <w:color w:val="FF0000"/>
          <w:sz w:val="18"/>
        </w:rPr>
        <w: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 xml:space="preserve">$__________ with respect to ENA, </w:t>
      </w:r>
      <w:r>
        <w:rPr>
          <w:rFonts w:cs="Arial Narrow" w:ascii="Arial Narrow" w:hAnsi="Arial Narrow"/>
          <w:color w:val="FF0000"/>
          <w:sz w:val="18"/>
        </w:rPr>
        <w:t>[</w:t>
      </w:r>
      <w:r>
        <w:rPr>
          <w:rFonts w:cs="Arial Narrow" w:ascii="Arial Narrow" w:hAnsi="Arial Narrow"/>
          <w:sz w:val="18"/>
        </w:rPr>
        <w:t>and $__________ with respect to ENA’s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 or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(j)</w:t>
        <w:tab/>
        <w:t>in the case of Counterparty, if _____________ ceases to own directly or indirectly, fifty-one percent (51%) or more of the outstanding capital stock or other equity interests of Counterparty having ordinary voting power."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sz w:val="18"/>
        </w:rPr>
        <w:tab/>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and ENA have multiple events, which constitute “Additional Events of Default”]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360" w:start="720" w:end="0"/>
        <w:jc w:val="both"/>
        <w:rPr>
          <w:rFonts w:ascii="Arial Narrow" w:hAnsi="Arial Narrow" w:cs="Arial Narrow"/>
          <w:sz w:val="18"/>
        </w:rPr>
      </w:pPr>
      <w:r>
        <w:rPr>
          <w:rFonts w:cs="Arial Narrow" w:ascii="Arial Narrow" w:hAnsi="Arial Narrow"/>
          <w:sz w:val="18"/>
        </w:rPr>
      </w:r>
    </w:p>
    <w:p>
      <w:pPr>
        <w:pStyle w:val="Normal"/>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 xml:space="preserve"> the Defaulting 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color w:val="FF0000"/>
          <w:sz w:val="18"/>
        </w:rPr>
        <w:footnoteReference w:id="5"/>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$__________ with respect to Counterparty’s Credit Support Provider, $__________ with respect to ENA, or $__________ with respect to ENA’s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(j)</w:t>
        <w:tab/>
        <w:t>in the case of Counterparty, if _____________ ceases to own directly or indirectly, fifty-one percent (51%) or more of the outstanding capital stock or other equity interests of Counterparty having ordinary voting power."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Fonts w:cs="Arial Narrow" w:ascii="Arial Narrow" w:hAnsi="Arial Narrow"/>
          <w:b/>
          <w:color w:val="FF0000"/>
          <w:sz w:val="18"/>
          <w:u w:val="single"/>
        </w:rPr>
        <w:t>[INSERT IF COUNTERPARTY AND ENA PROVIDE A GUARANTY]</w:t>
      </w:r>
      <w:r>
        <w:rPr>
          <w:rFonts w:cs="Arial Narrow" w:ascii="Arial Narrow" w:hAnsi="Arial Narrow"/>
          <w:b/>
          <w:color w:val="FF0000"/>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(ii)</w:t>
        <w:tab/>
        <w:t xml:space="preserve">Section 3(d) of </w:t>
      </w:r>
      <w:r>
        <w:rPr>
          <w:rFonts w:cs="Arial Narrow" w:ascii="Arial Narrow" w:hAnsi="Arial Narrow"/>
          <w:sz w:val="18"/>
          <w:u w:val="single"/>
        </w:rPr>
        <w:t>Annex A</w:t>
      </w:r>
      <w:r>
        <w:rPr>
          <w:rFonts w:cs="Arial Narrow" w:ascii="Arial Narrow" w:hAnsi="Arial Narrow"/>
          <w:sz w:val="18"/>
        </w:rPr>
        <w:t xml:space="preserve"> is amended to read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Narrow" w:hAnsi="Arial Narrow" w:cs="Arial Narrow"/>
          <w:sz w:val="18"/>
        </w:rPr>
      </w:pPr>
      <w:r>
        <w:rPr>
          <w:rFonts w:cs="Arial Narrow" w:ascii="Arial Narrow" w:hAnsi="Arial Narrow"/>
          <w:sz w:val="18"/>
        </w:rPr>
        <w:t>"(d) the institution with respect to the Defaulting Party or its Credit Support Provider, if any, of a bankruptcy, reorganization, moratorium, liquidation or similar insolvency proceeding or other relief under any bankruptcy or insolvency law affecting creditors’ rights or a petition is presented or instituted for its winding-up or liquidation (and, if the a proceeding is instituted against it, it remains undismissed for 30 days)."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w:t>
      </w:r>
      <w:r>
        <w:rPr>
          <w:rFonts w:cs="Arial Narrow" w:ascii="Arial Narrow" w:hAnsi="Arial Narrow"/>
          <w:b/>
          <w:sz w:val="18"/>
        </w:rPr>
        <w:tab/>
      </w:r>
      <w:r>
        <w:rPr>
          <w:rFonts w:cs="Arial Narrow" w:ascii="Arial Narrow" w:hAnsi="Arial Narrow"/>
          <w:b/>
          <w:color w:val="FF0000"/>
          <w:sz w:val="18"/>
        </w:rPr>
        <w:t>MATERIAL ADVERSE CHANGE ("MAC")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ENA AND COUNTERPARTY (CREDIT RATINGS)</w:t>
      </w:r>
      <w:r>
        <w:rPr>
          <w:rFonts w:cs="Arial Narrow" w:ascii="Arial Narrow" w:hAnsi="Arial Narrow"/>
          <w:b/>
          <w:color w:val="FF0000"/>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ENA, [Enron Corp.’s] [its Credit Support Provider’s] Credit Rating is below “BBB-” by S&amp;P [or below “Baa3” by Moody’s] or [Enron Corp.][its Credit Support Provider] fails to have a Credit Rating from S&amp;P [or Moody’s]; or (b) with respect to Counterparty, [its] [its Credit Support Provider’s] Credit Rating is below “__” by S&amp;P [or below “__” by Moody’s] or [it][its Credit Support Provider] fails to have a Credit Rating from S&amp;P [or Moody’s].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ENA (CREDIT RATING) AND COUNTERPARTY (NON-SPECIFIC MAC)</w:t>
      </w:r>
      <w:r>
        <w:rPr>
          <w:rFonts w:cs="Arial Narrow" w:ascii="Arial Narrow" w:hAnsi="Arial Narrow"/>
          <w:b/>
          <w:color w:val="FF0000"/>
          <w:sz w:val="18"/>
        </w:rPr>
        <w:t>]:</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ENA, [Enron Corp.’s] [its Credit Support Provider’s] Credit Rating is below “BBB-” by S&amp;P [or below “Baa3” by Moody’s], or (b) with respect to Counterparty, in the reasonable opinion of ENA, a material adverse change has occurred in the business, financial condition or operations of Counterparty [or its Credit Support Provider].</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ONLY COUNTERPARTY (NON-SPECIFIC MAC)</w:t>
      </w:r>
      <w:r>
        <w:rPr>
          <w:rFonts w:cs="Arial Narrow" w:ascii="Arial Narrow" w:hAnsi="Arial Narrow"/>
          <w:b/>
          <w:color w:val="FF0000"/>
          <w:sz w:val="18"/>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in the reasonable opinion of ENA, a material adverse change has occurred in the business, financial condition or operations of Counterparty [or its Credit Support Provider].</w:t>
      </w:r>
    </w:p>
    <w:p>
      <w:pPr>
        <w:pStyle w:val="Normal"/>
        <w:jc w:val="both"/>
        <w:rPr>
          <w:rFonts w:ascii="Arial Narrow" w:hAnsi="Arial Narrow" w:cs="Arial Narrow"/>
          <w:sz w:val="18"/>
        </w:rPr>
      </w:pPr>
      <w:r>
        <w:rPr>
          <w:rFonts w:cs="Arial Narrow" w:ascii="Arial Narrow" w:hAnsi="Arial Narrow"/>
          <w:sz w:val="18"/>
        </w:rPr>
      </w:r>
    </w:p>
    <w:p>
      <w:pPr>
        <w:pStyle w:val="Normal"/>
        <w:spacing w:lineRule="atLeast" w:line="240"/>
        <w:ind w:hanging="720" w:start="540" w:end="0"/>
        <w:jc w:val="both"/>
        <w:rPr/>
      </w:pPr>
      <w:r>
        <w:rPr>
          <w:rFonts w:cs="Arial Narrow" w:ascii="Arial Narrow" w:hAnsi="Arial Narrow"/>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ONLY COUNTERPARTY (CREDIT RATING)</w:t>
      </w:r>
      <w:r>
        <w:rPr>
          <w:rFonts w:cs="Arial Narrow" w:ascii="Arial Narrow" w:hAnsi="Arial Narrow"/>
          <w:b/>
          <w:color w:val="FF0000"/>
          <w:sz w:val="18"/>
        </w:rPr>
        <w:t>]:</w:t>
      </w:r>
    </w:p>
    <w:p>
      <w:pPr>
        <w:pStyle w:val="Normal"/>
        <w:spacing w:lineRule="atLeast" w:line="240"/>
        <w:jc w:val="both"/>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[its] [its Credit Support Provider’s] Credit Rating is below “__” by S&amp;P [or below “__” by Moody’s] or [it][its Credit Support Provider] fails to have a Credit Rating from S&amp;P [or Moody’s].</w:t>
      </w:r>
    </w:p>
    <w:p>
      <w:pPr>
        <w:pStyle w:val="Normal"/>
        <w:jc w:val="both"/>
        <w:rPr>
          <w:rFonts w:ascii="Arial Narrow" w:hAnsi="Arial Narrow" w:cs="Arial Narrow"/>
          <w:sz w:val="18"/>
        </w:rPr>
      </w:pPr>
      <w:r>
        <w:rPr>
          <w:rFonts w:cs="Arial Narrow" w:ascii="Arial Narrow" w:hAnsi="Arial Narrow"/>
          <w:sz w:val="18"/>
        </w:rPr>
      </w:r>
    </w:p>
    <w:p>
      <w:pPr>
        <w:pStyle w:val="Normal"/>
        <w:spacing w:lineRule="atLeast" w:line="240"/>
        <w:ind w:start="720" w:end="0"/>
        <w:jc w:val="both"/>
        <w:rPr>
          <w:rFonts w:ascii="Arial Narrow" w:hAnsi="Arial Narrow" w:cs="Arial Narrow"/>
          <w:color w:val="FF0000"/>
          <w:sz w:val="18"/>
        </w:rPr>
      </w:pPr>
      <w:r>
        <w:rPr>
          <w:rFonts w:cs="Arial Narrow" w:ascii="Arial Narrow" w:hAnsi="Arial Narrow"/>
          <w:b/>
          <w:color w:val="FF0000"/>
          <w:sz w:val="18"/>
          <w:u w:val="single"/>
        </w:rPr>
        <w:t>[INSERT IF MAC CONTAINS FINANCIAL COVENANTS FOR COUNTERPARTY AND/OR ITS GUARANTOR AND CREDIT RATING FOR ENA’S GUARANTOR]</w:t>
      </w:r>
      <w:r>
        <w:rPr>
          <w:rFonts w:cs="Arial Narrow" w:ascii="Arial Narrow" w:hAnsi="Arial Narrow"/>
          <w:b/>
          <w:color w:val="FF0000"/>
          <w:sz w:val="18"/>
        </w:rPr>
        <w:t>:</w:t>
      </w:r>
    </w:p>
    <w:p>
      <w:pPr>
        <w:pStyle w:val="Normal"/>
        <w:spacing w:lineRule="atLeast" w:line="240"/>
        <w:jc w:val="both"/>
        <w:rPr>
          <w:rFonts w:ascii="Arial Narrow" w:hAnsi="Arial Narrow" w:cs="Arial Narrow"/>
          <w:color w:val="FF0000"/>
          <w:sz w:val="18"/>
        </w:rPr>
      </w:pPr>
      <w:r>
        <w:rPr>
          <w:rFonts w:cs="Arial Narrow" w:ascii="Arial Narrow" w:hAnsi="Arial Narrow"/>
          <w:color w:val="FF0000"/>
          <w:sz w:val="18"/>
        </w:rPr>
      </w:r>
    </w:p>
    <w:p>
      <w:pPr>
        <w:pStyle w:val="Normal"/>
        <w:ind w:start="360" w:end="0"/>
        <w:jc w:val="both"/>
        <w:rPr/>
      </w:pPr>
      <w:r>
        <w:rPr>
          <w:rFonts w:cs="Arial Narrow" w:ascii="Arial Narrow" w:hAnsi="Arial Narrow"/>
          <w:i/>
          <w:sz w:val="18"/>
        </w:rPr>
        <w:t>"</w:t>
      </w:r>
      <w:r>
        <w:rPr>
          <w:rFonts w:cs="Arial Narrow" w:ascii="Arial Narrow" w:hAnsi="Arial Narrow"/>
          <w:i/>
          <w:sz w:val="18"/>
          <w:u w:val="single"/>
        </w:rPr>
        <w:t>Material Adverse Change</w:t>
      </w:r>
      <w:r>
        <w:rPr>
          <w:rFonts w:cs="Arial Narrow" w:ascii="Arial Narrow" w:hAnsi="Arial Narrow"/>
          <w:i/>
          <w:sz w:val="18"/>
        </w:rPr>
        <w:t>"</w:t>
      </w:r>
      <w:r>
        <w:rPr>
          <w:rFonts w:cs="Arial Narrow" w:ascii="Arial Narrow" w:hAnsi="Arial Narrow"/>
          <w:sz w:val="18"/>
        </w:rPr>
        <w:t xml:space="preserve"> means (a) with respect to Counterparty, [it] [its Credit Support Provider] shall have any of the following occur at any time:  [(i) the ratio of its Funded Debt to Net Worth is more than __ to __, or (ii) its Net Worth falls below $</w:t>
      </w:r>
      <w:r>
        <w:rPr>
          <w:rFonts w:cs="Arial Narrow" w:ascii="Arial Narrow" w:hAnsi="Arial Narrow"/>
          <w:sz w:val="18"/>
          <w:u w:val="single"/>
        </w:rPr>
        <w:tab/>
        <w:tab/>
      </w:r>
      <w:r>
        <w:rPr>
          <w:rFonts w:cs="Arial Narrow" w:ascii="Arial Narrow" w:hAnsi="Arial Narrow"/>
          <w:sz w:val="18"/>
        </w:rPr>
        <w:t xml:space="preserve">, or (iii) the ratio of its Cash Flow to Current Maturities of Long Term Debt is less than _ to _, or (iv) the ratio of its Current Assets to Current Liabilities is less than _ to _, or (v)  </w:t>
      </w:r>
      <w:r>
        <w:rPr>
          <w:rFonts w:cs="Arial Narrow" w:ascii="Arial Narrow" w:hAnsi="Arial Narrow"/>
          <w:sz w:val="18"/>
          <w:szCs w:val="22"/>
        </w:rPr>
        <w:t xml:space="preserve">its EBITDA Coverage Ratio shall be less than </w:t>
      </w:r>
      <w:r>
        <w:rPr>
          <w:rFonts w:cs="Arial Narrow" w:ascii="Arial Narrow" w:hAnsi="Arial Narrow"/>
          <w:sz w:val="18"/>
        </w:rPr>
        <w:t xml:space="preserve"> _ to _, or</w:t>
      </w:r>
      <w:r>
        <w:rPr>
          <w:rFonts w:cs="Arial Narrow" w:ascii="Arial Narrow" w:hAnsi="Arial Narrow"/>
          <w:sz w:val="18"/>
          <w:szCs w:val="22"/>
        </w:rPr>
        <w:t xml:space="preserve"> (vi)</w:t>
      </w:r>
      <w:r>
        <w:rPr>
          <w:rFonts w:cs="Arial Narrow" w:ascii="Arial Narrow" w:hAnsi="Arial Narrow"/>
          <w:sz w:val="18"/>
        </w:rPr>
        <w:t xml:space="preserve"> [INSERT OTHER APPROPRIATE FINANCIAL COVENANTS]; or (b) with respect to ENA, [Enron Corp.’s][its Credit Support Provider’s] Credit Rating is below “BBB-” by S&amp;P [or below “Baa3” by Moody’s].</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jc w:val="center"/>
        <w:rPr>
          <w:rFonts w:ascii="Arial Narrow" w:hAnsi="Arial Narrow" w:cs="Arial Narrow"/>
          <w:b/>
          <w:color w:val="FF0000"/>
          <w:sz w:val="18"/>
        </w:rPr>
      </w:pPr>
      <w:r>
        <w:rPr>
          <w:rFonts w:cs="Arial Narrow" w:ascii="Arial Narrow" w:hAnsi="Arial Narrow"/>
          <w:b/>
          <w:color w:val="FF0000"/>
          <w:sz w:val="18"/>
        </w:rPr>
      </w:r>
    </w:p>
    <w:p>
      <w:pPr>
        <w:pStyle w:val="Normal"/>
        <w:spacing w:lineRule="atLeast" w:line="240"/>
        <w:jc w:val="center"/>
        <w:rPr>
          <w:rFonts w:ascii="Arial Narrow" w:hAnsi="Arial Narrow" w:cs="Arial Narrow"/>
          <w:color w:val="FF0000"/>
          <w:sz w:val="18"/>
        </w:rPr>
      </w:pPr>
      <w:r>
        <w:rPr>
          <w:rFonts w:cs="Arial Narrow" w:ascii="Arial Narrow" w:hAnsi="Arial Narrow"/>
          <w:b/>
          <w:color w:val="FF0000"/>
          <w:sz w:val="18"/>
        </w:rPr>
        <w:t>[</w:t>
      </w:r>
      <w:r>
        <w:rPr>
          <w:rFonts w:cs="Arial Narrow" w:ascii="Arial Narrow" w:hAnsi="Arial Narrow"/>
          <w:b/>
          <w:color w:val="FF0000"/>
          <w:sz w:val="18"/>
          <w:u w:val="single"/>
        </w:rPr>
        <w:t>ADDITIONAL DEFINITIONS TO BE INSERTED AS APPROPRIATE</w:t>
      </w:r>
      <w:r>
        <w:rPr>
          <w:rFonts w:cs="Arial Narrow" w:ascii="Arial Narrow" w:hAnsi="Arial Narrow"/>
          <w:b/>
          <w:color w:val="FF0000"/>
          <w:sz w:val="18"/>
        </w:rPr>
        <w:t>]</w:t>
      </w:r>
    </w:p>
    <w:p>
      <w:pPr>
        <w:pStyle w:val="Normal"/>
        <w:spacing w:lineRule="atLeast" w:line="240"/>
        <w:jc w:val="both"/>
        <w:rPr>
          <w:rFonts w:ascii="Arial Narrow" w:hAnsi="Arial Narrow" w:cs="Arial Narrow"/>
          <w:color w:val="FF0000"/>
          <w:sz w:val="18"/>
        </w:rPr>
      </w:pPr>
      <w:r>
        <w:rPr>
          <w:rFonts w:cs="Arial Narrow" w:ascii="Arial Narrow" w:hAnsi="Arial Narrow"/>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Cash Flow</w:t>
      </w:r>
      <w:r>
        <w:rPr>
          <w:rFonts w:cs="Arial Narrow" w:ascii="Arial Narrow" w:hAnsi="Arial Narrow"/>
          <w:sz w:val="18"/>
        </w:rPr>
        <w:t>" means Net Income plus depreciation and non-cash charges from the consolidated income statement of [Counterparty][Counterparty's Credit Support Provider]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color w:val="FF0000"/>
          <w:sz w:val="18"/>
        </w:rPr>
      </w:pPr>
      <w:r>
        <w:rPr>
          <w:rFonts w:cs="Arial Narrow" w:ascii="Arial Narrow" w:hAnsi="Arial Narrow"/>
          <w:color w:val="FF0000"/>
          <w:sz w:val="18"/>
        </w:rPr>
        <w:t>[</w:t>
      </w: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r>
        <w:rPr>
          <w:rFonts w:cs="Arial Narrow" w:ascii="Arial Narrow" w:hAnsi="Arial Narrow"/>
          <w:color w:val="FF0000"/>
          <w:sz w:val="18"/>
        </w:rPr>
        <w:t>]</w:t>
      </w:r>
      <w:r>
        <w:rPr>
          <w:rStyle w:val="FootnoteCharacters"/>
          <w:rStyle w:val="FootnoteReference"/>
          <w:color w:val="FF0000"/>
        </w:rPr>
        <w:footnoteReference w:id="6"/>
      </w:r>
    </w:p>
    <w:p>
      <w:pPr>
        <w:pStyle w:val="Normal"/>
        <w:jc w:val="both"/>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Current Assets</w:t>
      </w:r>
      <w:r>
        <w:rPr>
          <w:rFonts w:cs="Arial Narrow" w:ascii="Arial Narrow" w:hAnsi="Arial Narrow"/>
          <w:sz w:val="18"/>
        </w:rPr>
        <w:t>" means consolidated current assets of [Counterparty] [Counterparty’s Credit Support Provider] as would be reflected on a consolidated balance sheet of [Counterparty] [Counterparty’s Credit Support Provider]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Current Liabilities</w:t>
      </w:r>
      <w:r>
        <w:rPr>
          <w:rFonts w:cs="Arial Narrow" w:ascii="Arial Narrow" w:hAnsi="Arial Narrow"/>
          <w:sz w:val="18"/>
        </w:rPr>
        <w:t>" means consolidated current liabilities of [Counterparty] [Counterparty’s Credit Support Provider] as would be reflected on a consolidated balance sheet of [Counterparty] [Counterparty’s Credit Support Provider]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Current Maturities of Long Term Debt</w:t>
      </w:r>
      <w:r>
        <w:rPr>
          <w:rFonts w:cs="Arial Narrow" w:ascii="Arial Narrow" w:hAnsi="Arial Narrow"/>
          <w:sz w:val="18"/>
        </w:rPr>
        <w:t>"</w:t>
      </w:r>
      <w:r>
        <w:rPr>
          <w:rFonts w:cs="Arial Narrow" w:ascii="Arial Narrow" w:hAnsi="Arial Narrow"/>
          <w:i/>
          <w:sz w:val="18"/>
        </w:rPr>
        <w:t xml:space="preserve"> </w:t>
      </w:r>
      <w:r>
        <w:rPr>
          <w:rFonts w:cs="Arial Narrow" w:ascii="Arial Narrow" w:hAnsi="Arial Narrow"/>
          <w:sz w:val="18"/>
        </w:rPr>
        <w:t>means payments required by third party lenders on consolidated long term debt of [Counterparty] [Counterparty's Credit Support Provider] within the next twelve (12) calendar months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DBRS</w:t>
      </w:r>
      <w:r>
        <w:rPr>
          <w:rFonts w:cs="Arial Narrow" w:ascii="Arial Narrow" w:hAnsi="Arial Narrow"/>
          <w:sz w:val="18"/>
        </w:rPr>
        <w:t>"</w:t>
      </w:r>
      <w:r>
        <w:rPr>
          <w:rFonts w:cs="Arial Narrow" w:ascii="Arial Narrow" w:hAnsi="Arial Narrow"/>
          <w:i/>
          <w:sz w:val="18"/>
        </w:rPr>
        <w:t xml:space="preserve"> </w:t>
      </w:r>
      <w:r>
        <w:rPr>
          <w:rFonts w:cs="Arial Narrow" w:ascii="Arial Narrow" w:hAnsi="Arial Narrow"/>
          <w:sz w:val="18"/>
        </w:rPr>
        <w:t>means Dominion Bond Rating Service Limited,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Funded Debt</w:t>
      </w:r>
      <w:r>
        <w:rPr>
          <w:rFonts w:cs="Arial Narrow" w:ascii="Arial Narrow" w:hAnsi="Arial Narrow"/>
          <w:sz w:val="18"/>
        </w:rPr>
        <w:t>" means consolidated indebtedness of [Counterparty] [Counterparty’s Credit Support Provider] which by its terms matures more than one year from the date as of which any calculation of Funded Debt is made.</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GAAP</w:t>
      </w:r>
      <w:r>
        <w:rPr>
          <w:rFonts w:cs="Arial Narrow" w:ascii="Arial Narrow" w:hAnsi="Arial Narrow"/>
          <w:sz w:val="18"/>
        </w:rPr>
        <w:t>" means generally accepted accounting principles that are generally accepted in the country in which the applicable party is organized and on a basis consistent with prior periods.</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Net Income</w:t>
      </w:r>
      <w:r>
        <w:rPr>
          <w:rFonts w:cs="Arial Narrow" w:ascii="Arial Narrow" w:hAnsi="Arial Narrow"/>
          <w:sz w:val="18"/>
        </w:rPr>
        <w:t>" means consolidated gross revenues of [Counterparty] [Counterparty’s Credit Support Provider] and other proper income credits, less all proper income charges, including taxes on income, all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Net Worth</w:t>
      </w:r>
      <w:r>
        <w:rPr>
          <w:rFonts w:cs="Arial Narrow" w:ascii="Arial Narrow" w:hAnsi="Arial Narrow"/>
          <w:i/>
          <w:sz w:val="18"/>
        </w:rPr>
        <w:t>"</w:t>
      </w:r>
      <w:r>
        <w:rPr>
          <w:rFonts w:cs="Arial Narrow" w:ascii="Arial Narrow" w:hAnsi="Arial Narrow"/>
          <w:sz w:val="18"/>
        </w:rPr>
        <w:t xml:space="preserve"> means consolidated total assets of [Counterparty] [Counterparty’s Credit Support Provider] (exclusive of intangible assets), minus consolidated total liabilities of [Counterparty] [Counterparty’s Credit Support Provider], each as would be reflected on a consolidated balance sheet of [Counterparty] [Counterparty’s Credit Support Provider] prepared in accordance with GAAP.</w:t>
      </w:r>
    </w:p>
    <w:p>
      <w:pPr>
        <w:pStyle w:val="Normal"/>
        <w:ind w:end="144"/>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ind w:start="360" w:end="0"/>
        <w:jc w:val="both"/>
        <w:rPr>
          <w:rFonts w:ascii="Arial Narrow" w:hAnsi="Arial Narrow" w:cs="Arial Narrow"/>
          <w:sz w:val="18"/>
        </w:rPr>
      </w:pPr>
      <w:r>
        <w:rPr>
          <w:rFonts w:cs="Arial Narrow" w:ascii="Arial Narrow" w:hAnsi="Arial Narrow"/>
          <w:sz w:val="18"/>
        </w:rPr>
      </w:r>
    </w:p>
    <w:p>
      <w:pPr>
        <w:pStyle w:val="Normal"/>
        <w:spacing w:lineRule="atLeast" w:line="240"/>
        <w:ind w:start="360" w:end="144"/>
        <w:jc w:val="both"/>
        <w:rPr/>
      </w:pPr>
      <w:r>
        <w:rPr>
          <w:rFonts w:cs="Arial Narrow" w:ascii="Arial Narrow" w:hAnsi="Arial Narrow"/>
          <w:sz w:val="18"/>
        </w:rPr>
        <w:t>"</w:t>
      </w:r>
      <w:r>
        <w:rPr>
          <w:rFonts w:cs="Arial Narrow" w:ascii="Arial Narrow" w:hAnsi="Arial Narrow"/>
          <w:i/>
          <w:iCs/>
          <w:sz w:val="18"/>
          <w:szCs w:val="22"/>
          <w:u w:val="single"/>
        </w:rPr>
        <w:t>Total Debt</w:t>
      </w:r>
      <w:r>
        <w:rPr>
          <w:rFonts w:cs="Arial Narrow" w:ascii="Arial Narrow" w:hAnsi="Arial Narrow"/>
          <w:sz w:val="18"/>
        </w:rPr>
        <w:t>"</w:t>
      </w:r>
      <w:r>
        <w:rPr>
          <w:rFonts w:cs="Arial Narrow" w:ascii="Arial Narrow" w:hAnsi="Arial Narrow"/>
          <w:sz w:val="18"/>
          <w:szCs w:val="22"/>
        </w:rPr>
        <w:t xml:space="preserve"> means consolidated indebtedness of </w:t>
      </w:r>
      <w:r>
        <w:rPr>
          <w:rFonts w:cs="Arial Narrow" w:ascii="Arial Narrow" w:hAnsi="Arial Narrow"/>
          <w:sz w:val="18"/>
        </w:rPr>
        <w:t>[Counterparty] [Counterparty’s Credit Support Provider]</w:t>
      </w:r>
      <w:r>
        <w:rPr>
          <w:rFonts w:cs="Arial Narrow" w:ascii="Arial Narrow" w:hAnsi="Arial Narrow"/>
          <w:sz w:val="18"/>
          <w:szCs w:val="22"/>
        </w:rPr>
        <w:t>.</w:t>
      </w:r>
    </w:p>
    <w:p>
      <w:pPr>
        <w:pStyle w:val="Normal"/>
        <w:ind w:start="360" w:end="0"/>
        <w:jc w:val="both"/>
        <w:rPr>
          <w:rFonts w:ascii="Arial Narrow" w:hAnsi="Arial Narrow" w:cs="Arial Narrow"/>
          <w:sz w:val="18"/>
          <w:szCs w:val="22"/>
        </w:rPr>
      </w:pPr>
      <w:r>
        <w:rPr>
          <w:rFonts w:cs="Arial Narrow" w:ascii="Arial Narrow" w:hAnsi="Arial Narrow"/>
          <w:sz w:val="18"/>
          <w:szCs w:val="22"/>
        </w:rPr>
      </w:r>
    </w:p>
    <w:p>
      <w:pPr>
        <w:pStyle w:val="Normal"/>
        <w:keepNext w:val="true"/>
        <w:spacing w:lineRule="atLeast" w:line="240"/>
        <w:jc w:val="both"/>
        <w:rPr>
          <w:rFonts w:ascii="Arial Narrow" w:hAnsi="Arial Narrow" w:cs="Arial Narrow"/>
          <w:b/>
          <w:bCs/>
          <w:color w:val="FF0000"/>
          <w:sz w:val="18"/>
          <w:szCs w:val="22"/>
        </w:rPr>
      </w:pPr>
      <w:r>
        <w:rPr>
          <w:rFonts w:eastAsia="Arial Narrow" w:cs="Arial Narrow" w:ascii="Arial Narrow" w:hAnsi="Arial Narrow"/>
          <w:b/>
          <w:bCs/>
          <w:color w:val="FF0000"/>
          <w:sz w:val="18"/>
          <w:szCs w:val="22"/>
        </w:rPr>
        <w:t xml:space="preserve"> </w:t>
      </w:r>
      <w:r>
        <w:rPr>
          <w:rFonts w:cs="Arial Narrow" w:ascii="Arial Narrow" w:hAnsi="Arial Narrow"/>
          <w:b/>
          <w:bCs/>
          <w:color w:val="FF0000"/>
          <w:sz w:val="18"/>
          <w:szCs w:val="22"/>
        </w:rPr>
        <w:t>[EBIDTA LANGUAGE - INSERT ALL THE DEFINITIONS BELOW:</w:t>
      </w:r>
    </w:p>
    <w:p>
      <w:pPr>
        <w:pStyle w:val="Normal"/>
        <w:keepNext w:val="true"/>
        <w:spacing w:lineRule="exact" w:line="240" w:before="240" w:after="0"/>
        <w:ind w:start="360" w:end="0"/>
        <w:jc w:val="both"/>
        <w:rPr>
          <w:rFonts w:ascii="Arial Narrow" w:hAnsi="Arial Narrow" w:cs="Arial Narrow"/>
          <w:i/>
          <w:i/>
          <w:iCs/>
          <w:sz w:val="18"/>
          <w:szCs w:val="22"/>
        </w:rPr>
      </w:pPr>
      <w:r>
        <w:rPr>
          <w:rFonts w:cs="Arial Narrow" w:ascii="Arial Narrow" w:hAnsi="Arial Narrow"/>
          <w:sz w:val="18"/>
        </w:rPr>
        <w:t>"</w:t>
      </w:r>
      <w:r>
        <w:rPr>
          <w:rFonts w:cs="Arial Narrow" w:ascii="Arial Narrow" w:hAnsi="Arial Narrow"/>
          <w:i/>
          <w:iCs/>
          <w:sz w:val="18"/>
          <w:szCs w:val="22"/>
          <w:u w:val="single"/>
        </w:rPr>
        <w:t>Depreciation, Depletion and Amortization Expense</w:t>
      </w:r>
      <w:r>
        <w:rPr>
          <w:rFonts w:cs="Arial Narrow" w:ascii="Arial Narrow" w:hAnsi="Arial Narrow"/>
          <w:sz w:val="18"/>
        </w:rPr>
        <w:t>"</w:t>
      </w:r>
      <w:r>
        <w:rPr>
          <w:rFonts w:cs="Arial Narrow" w:ascii="Arial Narrow" w:hAnsi="Arial Narrow"/>
          <w:sz w:val="18"/>
          <w:szCs w:val="22"/>
        </w:rPr>
        <w:t xml:space="preserve"> means, with respect to </w:t>
      </w:r>
      <w:r>
        <w:rPr>
          <w:rFonts w:cs="Arial Narrow" w:ascii="Arial Narrow" w:hAnsi="Arial Narrow"/>
          <w:sz w:val="18"/>
        </w:rPr>
        <w:t>[Counterparty] [Counterparty’s Credit Support Provider]</w:t>
      </w:r>
      <w:r>
        <w:rPr>
          <w:rFonts w:cs="Arial Narrow" w:ascii="Arial Narrow" w:hAnsi="Arial Narrow"/>
          <w:sz w:val="18"/>
          <w:szCs w:val="22"/>
        </w:rPr>
        <w:t xml:space="preserve">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rPr>
          <w:rFonts w:ascii="Arial Narrow" w:hAnsi="Arial Narrow" w:cs="Arial Narrow"/>
          <w:b/>
          <w:bCs/>
          <w:i/>
          <w:i/>
          <w:iCs/>
          <w:sz w:val="18"/>
          <w:szCs w:val="22"/>
        </w:rPr>
      </w:pPr>
      <w:r>
        <w:rPr>
          <w:rFonts w:cs="Arial Narrow"/>
          <w:b/>
          <w:bCs/>
          <w:i/>
          <w:iCs/>
          <w:sz w:val="18"/>
          <w:szCs w:val="22"/>
        </w:rPr>
      </w:r>
    </w:p>
    <w:p>
      <w:pPr>
        <w:pStyle w:val="BodyText"/>
        <w:ind w:start="360" w:end="0"/>
        <w:rPr/>
      </w:pPr>
      <w:r>
        <w:rPr/>
        <w:t>"</w:t>
      </w:r>
      <w:r>
        <w:rPr>
          <w:i/>
          <w:iCs/>
          <w:u w:val="single"/>
        </w:rPr>
        <w:t>EBITDA</w:t>
      </w:r>
      <w:r>
        <w:rPr/>
        <w:t xml:space="preserve">" means, with respect to [Counterparty] [Counterparty’s Credit Support Provider]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atLeast" w:line="240"/>
        <w:rPr>
          <w:rFonts w:ascii="Arial Narrow" w:hAnsi="Arial Narrow" w:cs="Arial Narrow"/>
          <w:sz w:val="18"/>
        </w:rPr>
      </w:pPr>
      <w:r>
        <w:rPr>
          <w:rFonts w:cs="Arial Narrow" w:ascii="Arial Narrow" w:hAnsi="Arial Narrow"/>
          <w:sz w:val="18"/>
        </w:rPr>
      </w:r>
    </w:p>
    <w:p>
      <w:pPr>
        <w:pStyle w:val="Normal"/>
        <w:spacing w:lineRule="atLeast" w:line="240"/>
        <w:ind w:start="360" w:end="0"/>
        <w:rPr>
          <w:rFonts w:ascii="Arial Narrow" w:hAnsi="Arial Narrow" w:cs="Arial Narrow"/>
          <w:b/>
          <w:color w:val="FF0000"/>
          <w:sz w:val="18"/>
        </w:rPr>
      </w:pPr>
      <w:r>
        <w:rPr>
          <w:rFonts w:cs="Arial Narrow" w:ascii="Arial Narrow" w:hAnsi="Arial Narrow"/>
          <w:sz w:val="18"/>
        </w:rPr>
        <w:t>"</w:t>
      </w:r>
      <w:r>
        <w:rPr>
          <w:rFonts w:cs="Arial Narrow" w:ascii="Arial Narrow" w:hAnsi="Arial Narrow"/>
          <w:i/>
          <w:iCs/>
          <w:sz w:val="18"/>
          <w:szCs w:val="22"/>
          <w:u w:val="single"/>
        </w:rPr>
        <w:t>EBITDA Coverage Ratio</w:t>
      </w:r>
      <w:r>
        <w:rPr>
          <w:rFonts w:cs="Arial Narrow" w:ascii="Arial Narrow" w:hAnsi="Arial Narrow"/>
          <w:sz w:val="18"/>
        </w:rPr>
        <w:t>"</w:t>
      </w:r>
      <w:r>
        <w:rPr>
          <w:rFonts w:cs="Arial Narrow" w:ascii="Arial Narrow" w:hAnsi="Arial Narrow"/>
          <w:sz w:val="18"/>
          <w:szCs w:val="22"/>
        </w:rPr>
        <w:t xml:space="preserve"> means, with respect to any period, the ratio of (i) EBITDA for such period to (ii) the aggregate amount of Interest Expense for such period.</w:t>
      </w:r>
    </w:p>
    <w:p>
      <w:pPr>
        <w:pStyle w:val="Normal"/>
        <w:spacing w:lineRule="exact" w:line="240" w:before="240" w:after="0"/>
        <w:ind w:start="360" w:end="0"/>
        <w:jc w:val="both"/>
        <w:rPr>
          <w:rFonts w:ascii="Arial Narrow" w:hAnsi="Arial Narrow" w:cs="Arial Narrow"/>
          <w:color w:val="FF0000"/>
          <w:sz w:val="18"/>
          <w:szCs w:val="22"/>
        </w:rPr>
      </w:pPr>
      <w:r>
        <w:rPr>
          <w:rFonts w:cs="Arial Narrow" w:ascii="Arial Narrow" w:hAnsi="Arial Narrow"/>
          <w:sz w:val="18"/>
        </w:rPr>
        <w:t>"</w:t>
      </w:r>
      <w:r>
        <w:rPr>
          <w:rFonts w:cs="Arial Narrow" w:ascii="Arial Narrow" w:hAnsi="Arial Narrow"/>
          <w:i/>
          <w:iCs/>
          <w:sz w:val="18"/>
          <w:szCs w:val="22"/>
          <w:u w:val="single"/>
        </w:rPr>
        <w:t>Interest Expense</w:t>
      </w:r>
      <w:r>
        <w:rPr>
          <w:rFonts w:cs="Arial Narrow" w:ascii="Arial Narrow" w:hAnsi="Arial Narrow"/>
          <w:sz w:val="18"/>
        </w:rPr>
        <w:t>"</w:t>
      </w:r>
      <w:r>
        <w:rPr>
          <w:rFonts w:cs="Arial Narrow" w:ascii="Arial Narrow" w:hAnsi="Arial Narrow"/>
          <w:sz w:val="18"/>
          <w:szCs w:val="22"/>
        </w:rPr>
        <w:t xml:space="preserve"> means, for any period, without duplication, the total consolidated interest expense of </w:t>
      </w:r>
      <w:r>
        <w:rPr>
          <w:rFonts w:cs="Arial Narrow" w:ascii="Arial Narrow" w:hAnsi="Arial Narrow"/>
          <w:sz w:val="18"/>
        </w:rPr>
        <w:t>[Counterparty] [Counterparty’s Credit Support Provider]</w:t>
      </w:r>
      <w:r>
        <w:rPr>
          <w:rFonts w:cs="Arial Narrow" w:ascii="Arial Narrow" w:hAnsi="Arial Narrow"/>
          <w:sz w:val="18"/>
          <w:szCs w:val="22"/>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w:t>
      </w:r>
      <w:r>
        <w:rPr>
          <w:rFonts w:cs="Arial Narrow" w:ascii="Arial Narrow" w:hAnsi="Arial Narrow"/>
          <w:sz w:val="18"/>
        </w:rPr>
        <w:t>[Counterparty] [Counterparty’s Credit Support Provider]</w:t>
      </w:r>
      <w:r>
        <w:rPr>
          <w:rFonts w:cs="Arial Narrow" w:ascii="Arial Narrow" w:hAnsi="Arial Narrow"/>
          <w:sz w:val="18"/>
          <w:szCs w:val="22"/>
        </w:rPr>
        <w:t xml:space="preserve"> under any guarantee of indebtedness or other obligations of any other person.</w:t>
      </w:r>
      <w:r>
        <w:rPr>
          <w:rFonts w:cs="Arial Narrow" w:ascii="Arial Narrow" w:hAnsi="Arial Narrow"/>
          <w:b/>
          <w:bCs/>
          <w:color w:val="FF0000"/>
          <w:sz w:val="18"/>
          <w:szCs w:val="22"/>
        </w:rPr>
        <w:t>]</w:t>
      </w:r>
    </w:p>
    <w:p>
      <w:pPr>
        <w:pStyle w:val="Normal"/>
        <w:spacing w:lineRule="atLeast" w:line="240"/>
        <w:jc w:val="both"/>
        <w:rPr>
          <w:rFonts w:ascii="Arial Narrow" w:hAnsi="Arial Narrow" w:cs="Arial Narrow"/>
          <w:b/>
          <w:bCs/>
          <w:color w:val="FF0000"/>
          <w:sz w:val="18"/>
          <w:szCs w:val="22"/>
        </w:rPr>
      </w:pPr>
      <w:r>
        <w:rPr>
          <w:rFonts w:cs="Arial Narrow" w:ascii="Arial Narrow" w:hAnsi="Arial Narrow"/>
          <w:b/>
          <w:bCs/>
          <w:color w:val="FF0000"/>
          <w:sz w:val="18"/>
          <w:szCs w:val="22"/>
        </w:rPr>
      </w:r>
    </w:p>
    <w:p>
      <w:pPr>
        <w:pStyle w:val="Heading4"/>
        <w:ind w:hanging="1080" w:start="1440" w:end="0"/>
        <w:rPr>
          <w:rFonts w:ascii="Arial Narrow" w:hAnsi="Arial Narrow" w:cs="Arial Narrow"/>
          <w:sz w:val="18"/>
        </w:rPr>
      </w:pPr>
      <w:r>
        <w:rPr>
          <w:rFonts w:cs="Arial Narrow" w:ascii="Arial Narrow" w:hAnsi="Arial Narrow"/>
          <w:sz w:val="18"/>
        </w:rPr>
        <w:t>NOTE:</w:t>
        <w:tab/>
        <w:t>For EBIDTA, in addition to the definitions above, add our standard definition for “Net Income”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b/>
          <w:sz w:val="18"/>
        </w:rPr>
        <w:t>•</w:t>
      </w:r>
      <w:r>
        <w:rPr>
          <w:rFonts w:cs="Arial Narrow" w:ascii="Arial Narrow" w:hAnsi="Arial Narrow"/>
          <w:b/>
          <w:sz w:val="18"/>
        </w:rPr>
        <w:tab/>
      </w:r>
      <w:r>
        <w:rPr>
          <w:rFonts w:cs="Arial Narrow" w:ascii="Arial Narrow" w:hAnsi="Arial Narrow"/>
          <w:b/>
          <w:color w:val="FF0000"/>
          <w:sz w:val="18"/>
          <w:u w:val="single"/>
        </w:rPr>
        <w:t>GUARANTY(S)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u w:val="single"/>
        </w:rPr>
      </w:pPr>
      <w:r>
        <w:rPr>
          <w:rFonts w:cs="Arial Narrow" w:ascii="Arial Narrow" w:hAnsi="Arial Narrow"/>
          <w:b/>
          <w:color w:val="FF0000"/>
          <w:sz w:val="18"/>
        </w:rPr>
        <w:tab/>
        <w:t>[</w:t>
      </w:r>
      <w:r>
        <w:rPr>
          <w:rFonts w:cs="Arial Narrow" w:ascii="Arial Narrow" w:hAnsi="Arial Narrow"/>
          <w:b/>
          <w:color w:val="FF0000"/>
          <w:sz w:val="18"/>
          <w:u w:val="single"/>
        </w:rPr>
        <w:t>INSERT IF A GUARANTOR SUPPORTING COUNTERPARTY'S OBLIGATIONS ONLY</w:t>
      </w:r>
      <w:r>
        <w:rPr>
          <w:rFonts w:cs="Arial Narrow" w:ascii="Arial Narrow" w:hAnsi="Arial Narrow"/>
          <w:b/>
          <w:color w:val="FF0000"/>
          <w:sz w:val="18"/>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Counterparty only, ____________________.</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rPr>
      </w:pPr>
      <w:r>
        <w:rPr>
          <w:rFonts w:cs="Arial Narrow" w:ascii="Arial Narrow" w:hAnsi="Arial Narrow"/>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rFonts w:cs="Arial Narrow" w:ascii="Arial Narrow" w:hAnsi="Arial Narrow"/>
          <w:sz w:val="18"/>
        </w:rPr>
        <w:tab/>
      </w:r>
      <w:r>
        <w:rPr>
          <w:rFonts w:cs="Arial Narrow" w:ascii="Arial Narrow" w:hAnsi="Arial Narrow"/>
          <w:b/>
          <w:color w:val="FF0000"/>
          <w:sz w:val="18"/>
        </w:rPr>
        <w:t>[</w:t>
      </w:r>
      <w:r>
        <w:rPr>
          <w:rFonts w:cs="Arial Narrow" w:ascii="Arial Narrow" w:hAnsi="Arial Narrow"/>
          <w:b/>
          <w:color w:val="FF0000"/>
          <w:sz w:val="18"/>
          <w:u w:val="single"/>
        </w:rPr>
        <w:t>INSERT IF A GUARANTOR SUPPORTING ENA'S OBLIGATIONS ONLY</w:t>
      </w:r>
      <w:r>
        <w:rPr>
          <w:rFonts w:cs="Arial Narrow" w:ascii="Arial Narrow" w:hAnsi="Arial Narrow"/>
          <w:b/>
          <w:color w:val="FF0000"/>
          <w:sz w:val="18"/>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b/>
          <w:color w:val="FF0000"/>
          <w:sz w:val="18"/>
        </w:rPr>
      </w:pPr>
      <w:r>
        <w:rPr>
          <w:rFonts w:cs="Arial Narrow" w:ascii="Arial Narrow" w:hAnsi="Arial Narrow"/>
          <w:b/>
          <w:color w:val="FF0000"/>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ENA only, Enron Corp.</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rPr>
      </w:pPr>
      <w:r>
        <w:rPr>
          <w:rFonts w:cs="Arial Narrow" w:ascii="Arial Narrow" w:hAnsi="Arial Narrow"/>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rFonts w:cs="Arial Narrow" w:ascii="Arial Narrow" w:hAnsi="Arial Narrow"/>
          <w:sz w:val="18"/>
        </w:rPr>
        <w:tab/>
      </w:r>
      <w:r>
        <w:rPr>
          <w:rFonts w:cs="Arial Narrow" w:ascii="Arial Narrow" w:hAnsi="Arial Narrow"/>
          <w:b/>
          <w:color w:val="FF0000"/>
          <w:sz w:val="18"/>
        </w:rPr>
        <w:t>[</w:t>
      </w:r>
      <w:r>
        <w:rPr>
          <w:rFonts w:cs="Arial Narrow" w:ascii="Arial Narrow" w:hAnsi="Arial Narrow"/>
          <w:b/>
          <w:color w:val="FF0000"/>
          <w:sz w:val="18"/>
          <w:u w:val="single"/>
        </w:rPr>
        <w:t>INSERT IF A GUARANTOR SUPPORTING EACH PARTY'S OBLIGATIONS</w:t>
      </w:r>
      <w:r>
        <w:rPr>
          <w:rFonts w:cs="Arial Narrow" w:ascii="Arial Narrow" w:hAnsi="Arial Narrow"/>
          <w:b/>
          <w:color w:val="FF0000"/>
          <w:sz w:val="18"/>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b/>
          <w:color w:val="FF0000"/>
          <w:sz w:val="18"/>
        </w:rPr>
      </w:pPr>
      <w:r>
        <w:rPr>
          <w:rFonts w:cs="Arial Narrow" w:ascii="Arial Narrow" w:hAnsi="Arial Narrow"/>
          <w:b/>
          <w:color w:val="FF0000"/>
          <w:sz w:val="18"/>
        </w:rPr>
      </w:r>
    </w:p>
    <w:p>
      <w:pPr>
        <w:pStyle w:val="Normal"/>
        <w:spacing w:lineRule="atLeast" w:line="240"/>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(a) with respect to Counterparty, _________________, and (b) with respect to ENA, Enron Corp.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color w:val="FF0000"/>
          <w:sz w:val="18"/>
          <w:u w:val="single"/>
        </w:rPr>
      </w:pPr>
      <w:r>
        <w:rPr>
          <w:rFonts w:cs="Arial Narrow" w:ascii="Arial Narrow" w:hAnsi="Arial Narrow"/>
          <w:sz w:val="18"/>
        </w:rPr>
        <w:tab/>
      </w:r>
      <w:r>
        <w:rPr>
          <w:rFonts w:cs="Arial Narrow" w:ascii="Arial Narrow" w:hAnsi="Arial Narrow"/>
          <w:b/>
          <w:color w:val="FF0000"/>
          <w:sz w:val="18"/>
          <w:u w:val="single"/>
        </w:rPr>
        <w:t>[INSERT IF PERFORMANCE ASSURANCE IS TO BE PROVIDED BY ENA AND COUNTERPARTY]:</w:t>
      </w:r>
    </w:p>
    <w:p>
      <w:pPr>
        <w:pStyle w:val="Normal"/>
        <w:ind w:hanging="720" w:start="720" w:end="0"/>
        <w:jc w:val="both"/>
        <w:rPr>
          <w:rFonts w:ascii="Arial Narrow" w:hAnsi="Arial Narrow" w:cs="Arial Narrow"/>
          <w:color w:val="FF0000"/>
          <w:sz w:val="18"/>
          <w:u w:val="single"/>
        </w:rPr>
      </w:pPr>
      <w:r>
        <w:rPr>
          <w:rFonts w:cs="Arial Narrow" w:ascii="Arial Narrow" w:hAnsi="Arial Narrow"/>
          <w:color w:val="FF0000"/>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ENA shall establish, maintain, renew, substitute and increase Performance Assurance as (and only to the extent) required by Annex B-1."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ab/>
      </w:r>
      <w:r>
        <w:rPr>
          <w:rFonts w:cs="Arial Narrow" w:ascii="Arial Narrow" w:hAnsi="Arial Narrow"/>
          <w:b/>
          <w:color w:val="FF0000"/>
          <w:sz w:val="18"/>
          <w:u w:val="single"/>
        </w:rPr>
        <w:t>[INSERT IF PERFORMANCE ASSURANCE IS TO BE PROVIDED BY COUNTERPARTY ONLY]:</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pStyle w:val="Normal"/>
        <w:jc w:val="both"/>
        <w:rPr>
          <w:rFonts w:ascii="Arial Narrow" w:hAnsi="Arial Narrow" w:cs="Arial Narrow"/>
          <w:b/>
          <w:sz w:val="18"/>
        </w:rPr>
      </w:pPr>
      <w:r>
        <w:rPr>
          <w:rFonts w:cs="Arial Narrow" w:ascii="Arial Narrow" w:hAnsi="Arial Narrow"/>
          <w:b/>
          <w:sz w:val="18"/>
        </w:rPr>
      </w:r>
    </w:p>
    <w:p>
      <w:pPr>
        <w:pStyle w:val="Normal"/>
        <w:ind w:hanging="720" w:start="720" w:end="0"/>
        <w:jc w:val="both"/>
        <w:rPr/>
      </w:pPr>
      <w:r>
        <w:rPr>
          <w:rFonts w:cs="Arial Narrow" w:ascii="Arial Narrow" w:hAnsi="Arial Narrow"/>
          <w:sz w:val="18"/>
        </w:rPr>
        <w:tab/>
      </w:r>
      <w:r>
        <w:rPr>
          <w:rFonts w:cs="Arial Narrow" w:ascii="Arial Narrow" w:hAnsi="Arial Narrow"/>
          <w:b/>
          <w:color w:val="FF0000"/>
          <w:sz w:val="18"/>
          <w:u w:val="single"/>
        </w:rPr>
        <w:t>[INSERT IF CREDIT SUPPORT IS CASH AND/OR A LETTER OF CREDIT BEING PROVIDED BY COUNTERPARTY ONLY]:</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Performance Assurance</w:t>
      </w:r>
      <w:r>
        <w:rPr>
          <w:rFonts w:cs="Arial Narrow" w:ascii="Arial Narrow" w:hAnsi="Arial Narrow"/>
          <w:sz w:val="18"/>
        </w:rPr>
        <w:t>.  On or before 5:00 p.m. (Houston time) on __________, 200_, Counterparty shall deliver to ENA Performance Assurance in the amount of $__________ (the “</w:t>
      </w:r>
      <w:r>
        <w:rPr>
          <w:rFonts w:cs="Arial Narrow" w:ascii="Arial Narrow" w:hAnsi="Arial Narrow"/>
          <w:sz w:val="18"/>
          <w:u w:val="single"/>
        </w:rPr>
        <w:t>Additional Amount</w:t>
      </w:r>
      <w:r>
        <w:rPr>
          <w:rFonts w:cs="Arial Narrow" w:ascii="Arial Narrow" w:hAnsi="Arial Narrow"/>
          <w:sz w:val="18"/>
        </w:rPr>
        <w:t>”) which Additional Amount shall be maintained in favor of ENA in accordance with the terms of Annex B-1.  In addition to such Performance Assurance, Counterparty shall establish, maintain, renew, substitute and increase Performance Assurance as (and only to the extent) required by Annex B-1."</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rPr>
      </w:pPr>
      <w:r>
        <w:rPr>
          <w:rFonts w:cs="Arial Narrow" w:ascii="Arial Narrow" w:hAnsi="Arial Narrow"/>
          <w:b/>
          <w:sz w:val="18"/>
        </w:rPr>
      </w:r>
    </w:p>
    <w:p>
      <w:pPr>
        <w:pStyle w:val="Normal"/>
        <w:tabs>
          <w:tab w:val="clear" w:pos="720"/>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CREDIT SUPPORT IN FORM OF GUARANTY IS PROVIDED BY COUNTERPARTY ONLY</w:t>
      </w:r>
      <w:r>
        <w:rPr>
          <w:rFonts w:cs="Arial Narrow" w:ascii="Arial Narrow" w:hAnsi="Arial Narrow"/>
          <w:b/>
          <w:color w:val="FF0000"/>
          <w:sz w:val="18"/>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"[9][10].  </w:t>
      </w:r>
      <w:r>
        <w:rPr>
          <w:rFonts w:cs="Arial Narrow" w:ascii="Arial Narrow" w:hAnsi="Arial Narrow"/>
          <w:sz w:val="18"/>
          <w:u w:val="single"/>
        </w:rPr>
        <w:t>Credit Support Agreements - Guaranty</w:t>
      </w:r>
      <w:r>
        <w:rPr>
          <w:rFonts w:cs="Arial Narrow" w:ascii="Arial Narrow" w:hAnsi="Arial Narrow"/>
          <w:sz w:val="18"/>
        </w:rPr>
        <w:t>.  Within two (2) Business Days of the Counterparty's receipt of this Confirmation, Counterparty shall cause to be delivered to ENA a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from its Credit Support Provider in favor of ENA in the form attached as Annex B-2."  "</w:t>
      </w:r>
      <w:r>
        <w:rPr>
          <w:rFonts w:cs="Arial Narrow" w:ascii="Arial Narrow" w:hAnsi="Arial Narrow"/>
          <w:i/>
          <w:sz w:val="18"/>
          <w:u w:val="single"/>
        </w:rPr>
        <w:t>Credit Support Provider</w:t>
      </w:r>
      <w:r>
        <w:rPr>
          <w:rFonts w:cs="Arial Narrow" w:ascii="Arial Narrow" w:hAnsi="Arial Narrow"/>
          <w:sz w:val="18"/>
        </w:rPr>
        <w:t>" means, with respect to Counterparty only, ____________________.</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CREDIT SUPPORT IN FORM OF GUARANTY IS PROVIDED BY ENA ONLY</w:t>
      </w:r>
      <w:r>
        <w:rPr>
          <w:rFonts w:cs="Arial Narrow" w:ascii="Arial Narrow" w:hAnsi="Arial Narrow"/>
          <w:b/>
          <w:color w:val="FF0000"/>
          <w:sz w:val="18"/>
        </w:rPr>
        <w:t>]:</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"[9][10].  </w:t>
      </w:r>
      <w:r>
        <w:rPr>
          <w:rFonts w:cs="Arial Narrow" w:ascii="Arial Narrow" w:hAnsi="Arial Narrow"/>
          <w:sz w:val="18"/>
          <w:u w:val="single"/>
        </w:rPr>
        <w:t>Credit Support Agreements - Guaranty</w:t>
      </w:r>
      <w:r>
        <w:rPr>
          <w:rFonts w:cs="Arial Narrow" w:ascii="Arial Narrow" w:hAnsi="Arial Narrow"/>
          <w:sz w:val="18"/>
        </w:rPr>
        <w:t>.  Within ten (10) Business Days of the date of this Confirmation, ENA shall cause to be delivered to Counterparty the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xml:space="preserve">) from its Credit Support Provider in favor of Counterparty in the form attached as Annex B-2."  </w:t>
      </w: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ENA only, Enron Corp.</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CREDIT SUPPORT IN FORM OF GUARANTY IS PROVIDED BY ENA AND COUNTERPARTY</w:t>
      </w:r>
      <w:r>
        <w:rPr>
          <w:rFonts w:cs="Arial Narrow" w:ascii="Arial Narrow" w:hAnsi="Arial Narrow"/>
          <w:b/>
          <w:color w:val="FF0000"/>
          <w:sz w:val="18"/>
        </w:rPr>
        <w:t>]:</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"[9][10].  </w:t>
      </w:r>
      <w:r>
        <w:rPr>
          <w:rFonts w:cs="Arial Narrow" w:ascii="Arial Narrow" w:hAnsi="Arial Narrow"/>
          <w:sz w:val="18"/>
          <w:u w:val="single"/>
        </w:rPr>
        <w:t>Credit Support Agreements - Guaranty</w:t>
      </w:r>
      <w:r>
        <w:rPr>
          <w:rFonts w:cs="Arial Narrow" w:ascii="Arial Narrow" w:hAnsi="Arial Narrow"/>
          <w:sz w:val="18"/>
        </w:rPr>
        <w:t xml:space="preserve">.  Within ____ (__) Business Days of the date of this Confirmation, (a) Counterparty shall deliver to ENA a duly executed guaranty in the form attached as Annex B-2 of Counterparty's Credit Support Provider in favor of ENA, and (b) ENA shall deliver to Counterparty a duly executed guaranty in the form attached as Annex B-3 of ENA's Credit Support Provider in favor of Counterparty.  Each of such guaranties is referred to herein as a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w:t>
      </w:r>
      <w:r>
        <w:rPr>
          <w:rFonts w:cs="Arial Narrow" w:ascii="Arial Narrow" w:hAnsi="Arial Narrow"/>
          <w:i/>
          <w:sz w:val="18"/>
          <w:u w:val="single"/>
        </w:rPr>
        <w:t>Credit Support Provider</w:t>
      </w:r>
      <w:r>
        <w:rPr>
          <w:rFonts w:cs="Arial Narrow" w:ascii="Arial Narrow" w:hAnsi="Arial Narrow"/>
          <w:sz w:val="18"/>
        </w:rPr>
        <w:t>" means (a) with respect to Counterparty, _________________, and (b) with respect to ENA, Enron Corp.</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ind w:hanging="720" w:start="720" w:end="0"/>
        <w:jc w:val="both"/>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ONLY COUNTERPARTY IS TO PROVIDE FINANCIAL INFORMATION</w:t>
      </w:r>
      <w:r>
        <w:rPr>
          <w:rFonts w:cs="Arial Narrow" w:ascii="Arial Narrow" w:hAnsi="Arial Narrow"/>
          <w:b/>
          <w:color w:val="FF0000"/>
          <w:sz w:val="18"/>
        </w:rPr>
        <w:t>]:</w:t>
      </w:r>
    </w:p>
    <w:p>
      <w:pPr>
        <w:pStyle w:val="Normal"/>
        <w:ind w:hanging="720"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sz w:val="18"/>
        </w:rPr>
        <w:t>Counterparty shall deliver to ENA (i) as soon as available and in any event within 120 days after the end of [its] [and] [its Credit Support Provider's] fiscal year a copy of [its] [and]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[and] [its Credit Support Provider's] first three fiscal quarters of each fiscal year, copies of [its] [and] [its Credit Support Provider's] quarterly reports containing unaudited consolidated financial statements for such fiscal quarter prepared in accordance with GAAP, and (iii) such other publicly available financial information as ENA may reasonably request.”</w:t>
      </w:r>
    </w:p>
    <w:p>
      <w:pPr>
        <w:pStyle w:val="Normal"/>
        <w:rPr>
          <w:rFonts w:ascii="Arial Narrow" w:hAnsi="Arial Narrow" w:cs="Arial Narrow"/>
          <w:sz w:val="18"/>
        </w:rPr>
      </w:pPr>
      <w:r>
        <w:rPr>
          <w:rFonts w:cs="Arial Narrow" w:ascii="Arial Narrow" w:hAnsi="Arial Narrow"/>
          <w:sz w:val="18"/>
        </w:rPr>
      </w:r>
    </w:p>
    <w:p>
      <w:pPr>
        <w:pStyle w:val="Normal"/>
        <w:ind w:hanging="720" w:start="720" w:end="0"/>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ENA AND COUNTERPARTY ARE EACH TO PROVIDE FINANCIAL INFORMATION</w:t>
      </w:r>
      <w:r>
        <w:rPr>
          <w:rFonts w:cs="Arial Narrow" w:ascii="Arial Narrow" w:hAnsi="Arial Narrow"/>
          <w:b/>
          <w:color w:val="FF0000"/>
          <w:sz w:val="18"/>
        </w:rPr>
        <w:t>]:</w:t>
      </w:r>
    </w:p>
    <w:p>
      <w:pPr>
        <w:pStyle w:val="Normal"/>
        <w:jc w:val="both"/>
        <w:rPr>
          <w:rFonts w:ascii="Arial Narrow" w:hAnsi="Arial Narrow" w:cs="Arial Narrow"/>
          <w:b/>
          <w:color w:val="FF0000"/>
          <w:sz w:val="18"/>
        </w:rPr>
      </w:pPr>
      <w:r>
        <w:rPr>
          <w:rFonts w:cs="Arial Narrow" w:ascii="Arial Narrow" w:hAnsi="Arial Narrow"/>
          <w:b/>
          <w:color w:val="FF0000"/>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[Credit Support Provider’s][(or in the case of ENA, Enron Corp.'s)] fiscal year a copy of its [Credit Support Provider’s][(or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xml:space="preserve">), and further with respect to ENA, only if [its Credit Support Provider’s][Enron Corp.’s] annual consolidated financial statements are not available on “EDGAR” or [its Credit Support Provider’s][Enron Corp.’s] home page on the World Wide Web at www.enron.com;  (ii) as soon as available and in any event within sixty (60) days after the end of each of its [Credit Support Provider’s][(or in the case of ENA, Enron Corp.'s)] first three fiscal quarters of its fiscal year, copies of its [Credit Support Provider’s][(or in the case of ENA, Enron Corp.'s)] quarterly reports containing unaudited consolidated financial statements for such fiscal quarter prepared in accordance with GAAP, and further with respect to ENA, only if [its Credit Support Provider’s][Enron Corp.'s] quarterly unaudited consolidated financial statements are not available on “EDGAR” or [its Credit Support Provider’s][Enron Corp.’s] home page on the World Wide Web at www.enron.com; and (iii) such other publicly available financial information as the other party may reasonably request.” </w:t>
      </w:r>
    </w:p>
    <w:p>
      <w:pPr>
        <w:pStyle w:val="Normal"/>
        <w:ind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b/>
          <w:color w:val="FF0000"/>
          <w:sz w:val="18"/>
          <w:u w:val="single"/>
        </w:rPr>
      </w:pPr>
      <w:r>
        <w:rPr>
          <w:rFonts w:cs="Arial Narrow" w:ascii="Arial Narrow" w:hAnsi="Arial Narrow"/>
          <w:b/>
          <w:color w:val="FF0000"/>
          <w:sz w:val="18"/>
          <w:u w:val="single"/>
        </w:rPr>
        <w:t>[INSERT FOR CROSS BORDER CANADIAN DEALS]</w:t>
      </w:r>
    </w:p>
    <w:p>
      <w:pPr>
        <w:pStyle w:val="Normal"/>
        <w:ind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720"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5.</w:t>
        <w:tab/>
      </w:r>
      <w:r>
        <w:rPr>
          <w:rFonts w:cs="Arial Narrow" w:ascii="Arial Narrow" w:hAnsi="Arial Narrow"/>
          <w:sz w:val="18"/>
          <w:u w:val="single"/>
        </w:rPr>
        <w:t>FOREIGN COUNTERPARTY</w:t>
      </w:r>
      <w:r>
        <w:rPr>
          <w:rFonts w:cs="Arial Narrow" w:ascii="Arial Narrow" w:hAnsi="Arial Narrow"/>
          <w:b/>
          <w:sz w:val="18"/>
        </w:rPr>
        <w:t xml:space="preserve">.  </w:t>
      </w:r>
      <w:r>
        <w:rPr>
          <w:rFonts w:cs="Arial Narrow" w:ascii="Arial Narrow" w:hAnsi="Arial Narrow"/>
          <w:sz w:val="18"/>
        </w:rPr>
        <w:t>Counterparty and ENA agree to the representations, warranties and covenants set forth in the Canadian Annex attached to the Confirmation and agree that such Canadian Annex shall supplement, form part of and be incorporated into the Confirmation.</w:t>
      </w:r>
    </w:p>
    <w:p>
      <w:pPr>
        <w:pStyle w:val="Normal"/>
        <w:jc w:val="end"/>
        <w:rPr>
          <w:rFonts w:ascii="Arial Narrow" w:hAnsi="Arial Narrow" w:cs="Arial Narrow"/>
          <w:b/>
          <w:color w:val="FF0000"/>
          <w:sz w:val="18"/>
          <w:u w:val="single"/>
        </w:rPr>
      </w:pPr>
      <w:r>
        <w:rPr>
          <w:rFonts w:cs="Arial Narrow" w:ascii="Arial Narrow" w:hAnsi="Arial Narrow"/>
          <w:b/>
          <w:color w:val="FF0000"/>
          <w:sz w:val="18"/>
          <w:u w:val="single"/>
        </w:rPr>
        <w:t>ONE WAY LETTER OF CREDIT ISSUED BY COUNTERPARTY ONLY FORM</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(y) the Valuation Percentage times the remaining, undrawn portion of any outstanding Letter of Credit maintained by Counterparty and issued for the benefit of ENA in connection with the Swaps and (z) any cash held by ENA pursuant to Section 2(f)(ii)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(d)</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(e)</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w:t>
      </w:r>
      <w:r>
        <w:rPr>
          <w:rFonts w:cs="Arial Narrow" w:ascii="Arial Narrow" w:hAnsi="Arial Narrow"/>
          <w:sz w:val="18"/>
          <w:u w:val="single"/>
        </w:rPr>
        <w:t xml:space="preserve">            </w:t>
      </w:r>
      <w:r>
        <w:rPr>
          <w:rFonts w:cs="Arial Narrow" w:ascii="Arial Narrow" w:hAnsi="Arial Narrow"/>
          <w:sz w:val="18"/>
        </w:rPr>
        <w:t xml:space="preserve">; provided, however, that the Exposure Threshold shall be zero for Counterparty upon the occurrence and during the continuance of a </w:t>
      </w:r>
      <w:r>
        <w:rPr>
          <w:rFonts w:cs="Arial Narrow" w:ascii="Arial Narrow" w:hAnsi="Arial Narrow"/>
          <w:color w:val="FF0000"/>
          <w:sz w:val="18"/>
        </w:rPr>
        <w:t>[</w:t>
      </w:r>
      <w:r>
        <w:rPr>
          <w:rFonts w:cs="Arial Narrow" w:ascii="Arial Narrow" w:hAnsi="Arial Narrow"/>
          <w:sz w:val="18"/>
        </w:rPr>
        <w:t>Material Adverse Change</w:t>
      </w:r>
      <w:r>
        <w:rPr>
          <w:rFonts w:cs="Arial Narrow" w:ascii="Arial Narrow" w:hAnsi="Arial Narrow"/>
          <w:color w:val="FF0000"/>
          <w:sz w:val="18"/>
        </w:rPr>
        <w:t>]</w:t>
      </w:r>
      <w:r>
        <w:rPr>
          <w:rFonts w:cs="Arial Narrow" w:ascii="Arial Narrow" w:hAnsi="Arial Narrow"/>
          <w:sz w:val="18"/>
        </w:rPr>
        <w:t xml:space="preserv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(g)</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72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(h)</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(i)</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(j)</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(l)</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(m)</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(n)</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ENA may demand in writing that Counterparty establish and maintain (subject to increase as provided below) (1) Performance Assurance for the benefit of ENA equal to Counterparty's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or (2) increase the principal amount of any outstanding Letter of Credit so that after such increase the Collateral Requirement has been fully satisfied.  Within two (2) Business Days after receipt of such demand, Counterparty shall either establish such Letter of Credit or increase any outstanding Letter of Credit.  Counterparty shall increase the amount of the Letter of Credit or establish additional Letters of Credit if the Collateral Requirement increases and ENA demands such increased or additional Letter of Credit in the manner provided above.</w:t>
      </w:r>
    </w:p>
    <w:p>
      <w:pPr>
        <w:pStyle w:val="BodyTextIndent"/>
        <w:rPr/>
      </w:pPr>
      <w:r>
        <w:rPr/>
        <w:t>(b)</w:t>
        <w:tab/>
        <w:t>On any Business Day (but no more frequently than weekly), Counterparty may request a reduction in the amount of Performance Assurance previously provided by it, provided that, after the requested reduction in Performance Assurance, (i) the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the reduction of the amount of an outstanding Letter of Credit previously issued for the benefit of ENA and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firstLine="9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a substitute Letter of Credit at least twenty (20) Business Days prior to the expiration of the outstanding Letter of Credit, and (iii) if the Issuershall fail to honor ENA's properly documented request to draw on an outstanding Letter of Credit, provide for the benefit of ENA a substitute Letter of Credit that is issued by a bank acceptable to ENA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(d)</w:t>
        <w:tab/>
        <w:t>Upon the occurrence of a Letter of Credit Default, Counterparty agrees to cause another Issuer to deliver a substitute Letter of Credit to ENA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collateral as security for Counterparty’s obligations to ENA (and Counterparty hereby pledges and grants to ENA as security for such obligations a first lien, priority security interest in and to such cash proceeds).  ENA shall either (y) apply such proceeds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3"/>
          <w:footerReference w:type="default" r:id="rId4"/>
          <w:footerReference w:type="first" r:id="rId5"/>
          <w:footnotePr>
            <w:numFmt w:val="decimal"/>
          </w:footnotePr>
          <w:type w:val="nextPage"/>
          <w:pgSz w:w="12240" w:h="15840"/>
          <w:pgMar w:left="864" w:right="720" w:gutter="0" w:header="720" w:top="1440" w:footer="605" w:bottom="1440"/>
          <w:pgNumType w:start="1" w:fmt="decimal"/>
          <w:formProt w:val="false"/>
          <w:textDirection w:val="lrTb"/>
          <w:docGrid w:type="default" w:linePitch="360" w:charSpace="0"/>
        </w:sect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end"/>
        <w:rPr>
          <w:rFonts w:ascii="Arial Narrow" w:hAnsi="Arial Narrow" w:cs="Arial Narrow"/>
          <w:b/>
          <w:color w:val="FF0000"/>
          <w:sz w:val="18"/>
          <w:u w:val="single"/>
        </w:rPr>
      </w:pPr>
      <w:r>
        <w:rPr>
          <w:rFonts w:cs="Arial Narrow" w:ascii="Arial Narrow" w:hAnsi="Arial Narrow"/>
          <w:b/>
          <w:color w:val="FF0000"/>
          <w:sz w:val="18"/>
          <w:u w:val="single"/>
        </w:rPr>
        <w:t>TWO WAY/LETTER OF CREDIT FORM</w:t>
      </w:r>
    </w:p>
    <w:p>
      <w:pPr>
        <w:pStyle w:val="Normal"/>
        <w:jc w:val="center"/>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3"/>
        </w:numPr>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The "</w:t>
      </w:r>
      <w:r>
        <w:rPr>
          <w:rFonts w:cs="Arial Narrow" w:ascii="Arial Narrow" w:hAnsi="Arial Narrow"/>
          <w:sz w:val="18"/>
          <w:u w:val="single"/>
        </w:rPr>
        <w:t>Collateral Requirement</w:t>
      </w:r>
      <w:r>
        <w:rPr>
          <w:rFonts w:cs="Arial Narrow" w:ascii="Arial Narrow" w:hAnsi="Arial Narrow"/>
          <w:sz w:val="18"/>
        </w:rPr>
        <w:t>" for a Non-Exposed Party shall mean the excess, if any, of (i) (x) the Exposed Party's Net Exposure plus (y) the aggregate of all Additional Amounts applicable to the Non-Exposed Party minus (ii) the Non-Exposed Party's Exposure Threshold plus the sum of (y) the Valuation Percentage times the remaining, undrawn portion of any outstanding Letters of Credit maintained by the Non-Exposed Party for the benefit of the Exposed Party in connection with the Swaps and (z) any cash held by the Exposed Party pursuant to Section 2(f)(ii) of this Annex.</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(c)</w:t>
        <w:tab/>
        <w:t>The "</w:t>
      </w:r>
      <w:r>
        <w:rPr>
          <w:rFonts w:cs="Arial Narrow" w:ascii="Arial Narrow" w:hAnsi="Arial Narrow"/>
          <w:sz w:val="18"/>
          <w:u w:val="single"/>
        </w:rPr>
        <w:t>Current Value</w:t>
      </w:r>
      <w:r>
        <w:rPr>
          <w:rFonts w:cs="Arial Narrow" w:ascii="Arial Narrow" w:hAnsi="Arial Narrow"/>
          <w:sz w:val="18"/>
        </w:rPr>
        <w:t>"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w:t>
        <w:softHyphen/>
        <w:t>plete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(d)</w:t>
        <w:tab/>
        <w:t>"</w:t>
      </w:r>
      <w:r>
        <w:rPr>
          <w:rFonts w:cs="Arial Narrow" w:ascii="Arial Narrow" w:hAnsi="Arial Narrow"/>
          <w:sz w:val="18"/>
          <w:u w:val="single"/>
        </w:rPr>
        <w:t>Exposure</w:t>
      </w:r>
      <w:r>
        <w:rPr>
          <w:rFonts w:cs="Arial Narrow" w:ascii="Arial Narrow" w:hAnsi="Arial Narrow"/>
          <w:sz w:val="18"/>
        </w:rPr>
        <w:t>"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(e)</w:t>
        <w:tab/>
        <w:t>"</w:t>
      </w:r>
      <w:r>
        <w:rPr>
          <w:rFonts w:cs="Arial Narrow" w:ascii="Arial Narrow" w:hAnsi="Arial Narrow"/>
          <w:sz w:val="18"/>
          <w:u w:val="single"/>
        </w:rPr>
        <w:t>Exposure Threshold</w:t>
      </w:r>
      <w:r>
        <w:rPr>
          <w:rFonts w:cs="Arial Narrow" w:ascii="Arial Narrow" w:hAnsi="Arial Narrow"/>
          <w:sz w:val="18"/>
        </w:rPr>
        <w:t>" shall mean, with respect to (i) ENA, $</w:t>
      </w:r>
      <w:r>
        <w:rPr>
          <w:rFonts w:cs="Arial Narrow" w:ascii="Arial Narrow" w:hAnsi="Arial Narrow"/>
          <w:sz w:val="18"/>
          <w:u w:val="single"/>
        </w:rPr>
        <w:tab/>
        <w:tab/>
      </w:r>
      <w:r>
        <w:rPr>
          <w:rFonts w:cs="Arial Narrow" w:ascii="Arial Narrow" w:hAnsi="Arial Narrow"/>
          <w:sz w:val="18"/>
        </w:rPr>
        <w:t>, and (ii) Counterparty, $</w:t>
      </w:r>
      <w:r>
        <w:rPr>
          <w:rFonts w:cs="Arial Narrow" w:ascii="Arial Narrow" w:hAnsi="Arial Narrow"/>
          <w:sz w:val="18"/>
          <w:u w:val="single"/>
        </w:rPr>
        <w:tab/>
      </w:r>
      <w:r>
        <w:rPr>
          <w:rFonts w:cs="Arial Narrow" w:ascii="Arial Narrow" w:hAnsi="Arial Narrow"/>
          <w:sz w:val="18"/>
        </w:rPr>
        <w:t xml:space="preserve">; provided, however, that the Exposure Threshold for a party shall be zero upon the occurrence and during the continuance of a </w:t>
      </w:r>
      <w:r>
        <w:rPr>
          <w:rFonts w:cs="Arial Narrow" w:ascii="Arial Narrow" w:hAnsi="Arial Narrow"/>
          <w:color w:val="FF0000"/>
          <w:sz w:val="18"/>
        </w:rPr>
        <w:t>[</w:t>
      </w:r>
      <w:r>
        <w:rPr>
          <w:rFonts w:cs="Arial Narrow" w:ascii="Arial Narrow" w:hAnsi="Arial Narrow"/>
          <w:sz w:val="18"/>
        </w:rPr>
        <w:t>Material Adverse Change</w:t>
      </w:r>
      <w:r>
        <w:rPr>
          <w:rFonts w:cs="Arial Narrow" w:ascii="Arial Narrow" w:hAnsi="Arial Narrow"/>
          <w:color w:val="FF0000"/>
          <w:sz w:val="18"/>
        </w:rPr>
        <w:t>]</w:t>
      </w:r>
      <w:r>
        <w:rPr>
          <w:rFonts w:cs="Arial Narrow" w:ascii="Arial Narrow" w:hAnsi="Arial Narrow"/>
          <w:sz w:val="18"/>
        </w:rPr>
        <w:t xml:space="preserv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t>"</w:t>
      </w:r>
      <w:r>
        <w:rPr>
          <w:rFonts w:cs="Arial Narrow" w:ascii="Arial Narrow" w:hAnsi="Arial Narrow"/>
          <w:sz w:val="18"/>
          <w:u w:val="single"/>
        </w:rPr>
        <w:t>Exposure Amount</w:t>
      </w:r>
      <w:r>
        <w:rPr>
          <w:rFonts w:cs="Arial Narrow" w:ascii="Arial Narrow" w:hAnsi="Arial Narrow"/>
          <w:sz w:val="18"/>
        </w:rPr>
        <w:t>" for each party shall be calculated for all Swaps by calculating each party's Exposure to the other party in respect of all Swaps.  The party having the greater Exposure Amount at any time (the "</w:t>
      </w:r>
      <w:r>
        <w:rPr>
          <w:rFonts w:cs="Arial Narrow" w:ascii="Arial Narrow" w:hAnsi="Arial Narrow"/>
          <w:sz w:val="18"/>
          <w:u w:val="single"/>
        </w:rPr>
        <w:t>Exposed Party</w:t>
      </w:r>
      <w:r>
        <w:rPr>
          <w:rFonts w:cs="Arial Narrow" w:ascii="Arial Narrow" w:hAnsi="Arial Narrow"/>
          <w:sz w:val="18"/>
        </w:rPr>
        <w:t>") shall be deemed to have a "Net Exposure" to the other party (the "</w:t>
      </w:r>
      <w:r>
        <w:rPr>
          <w:rFonts w:cs="Arial Narrow" w:ascii="Arial Narrow" w:hAnsi="Arial Narrow"/>
          <w:sz w:val="18"/>
          <w:u w:val="single"/>
        </w:rPr>
        <w:t>Non-Exposed Party</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(g)</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(h)</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(i)</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hanging="630" w:start="1350" w:end="0"/>
        <w:jc w:val="both"/>
        <w:rPr/>
      </w:pPr>
      <w:r>
        <w:rPr>
          <w:rFonts w:cs="Arial Narrow" w:ascii="Arial Narrow" w:hAnsi="Arial Narrow"/>
          <w:sz w:val="18"/>
        </w:rPr>
        <w:t>(j)</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the Exposed Party.</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(l)</w:t>
        <w:tab/>
        <w:t>"</w:t>
      </w:r>
      <w:r>
        <w:rPr>
          <w:rFonts w:cs="Arial Narrow" w:ascii="Arial Narrow" w:hAnsi="Arial Narrow"/>
          <w:sz w:val="18"/>
          <w:u w:val="single"/>
        </w:rPr>
        <w:t>Swaps</w:t>
      </w:r>
      <w:r>
        <w:rPr>
          <w:rFonts w:cs="Arial Narrow" w:ascii="Arial Narrow" w:hAnsi="Arial Narrow"/>
          <w:sz w:val="18"/>
        </w:rPr>
        <w:t>"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w:t>
      </w:r>
      <w:r>
        <w:rPr>
          <w:rFonts w:cs="Arial Narrow" w:ascii="Arial Narrow" w:hAnsi="Arial Narrow"/>
          <w:sz w:val="18"/>
          <w:u w:val="single"/>
        </w:rPr>
        <w:t>Swap</w:t>
      </w:r>
      <w:r>
        <w:rPr>
          <w:rFonts w:cs="Arial Narrow" w:ascii="Arial Narrow" w:hAnsi="Arial Narrow"/>
          <w:sz w:val="18"/>
        </w:rPr>
        <w:t>" shall mean any of the Swaps.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(m)</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(n)</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pPr>
      <w:r>
        <w:rPr>
          <w:rFonts w:cs="Arial Narrow" w:ascii="Arial Narrow" w:hAnsi="Arial Narrow"/>
          <w:sz w:val="18"/>
        </w:rPr>
        <w:t>(a)</w:t>
        <w:tab/>
        <w:t>On any Business Day, the Exposed Party may demand in writing that the Non-Exposed Party (1) establish and maintain (subject to increase as provided below) Performance Assurance for the benefit of the Exposed Party equal to the Non-Exposed 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xml:space="preserve"> as to Counterparty, and $</w:t>
      </w:r>
      <w:r>
        <w:rPr>
          <w:rFonts w:cs="Arial Narrow" w:ascii="Arial Narrow" w:hAnsi="Arial Narrow"/>
          <w:sz w:val="18"/>
          <w:u w:val="single"/>
        </w:rPr>
        <w:tab/>
        <w:tab/>
      </w:r>
      <w:r>
        <w:rPr>
          <w:rFonts w:cs="Arial Narrow" w:ascii="Arial Narrow" w:hAnsi="Arial Narrow"/>
          <w:sz w:val="18"/>
        </w:rPr>
        <w:t xml:space="preserve"> as to ENA, or (2) increase the principal amount of any outstanding Letter of Credit so that after such increase the Non-Exposed Party’s Collateral Requirement has been fully satisfied.  Within three (3) Business Days after receipt of such demand, the Non-Exposed Party shall either establish such Letter of Credit or increase any outstanding Letter of Credit.  The Non-Exposed Party shall increase the amount of the Letter of Credit or establish additional Letters of Credit if its Collateral Requirement increases and the Exposed Party demands such increased or additional Letter of Credit in the manner provided above.</w:t>
      </w:r>
    </w:p>
    <w:p>
      <w:pPr>
        <w:pStyle w:val="Normal"/>
        <w:spacing w:before="240" w:after="0"/>
        <w:ind w:hanging="720" w:start="1440" w:end="0"/>
        <w:jc w:val="both"/>
        <w:rPr/>
      </w:pPr>
      <w:r>
        <w:rPr>
          <w:rFonts w:cs="Arial Narrow" w:ascii="Arial Narrow" w:hAnsi="Arial Narrow"/>
          <w:sz w:val="18"/>
        </w:rPr>
        <w:t>(b)</w:t>
        <w:tab/>
        <w:t xml:space="preserve">On any Business Day (but no more frequently than weekly with respect to Letters of Credit), a party (the </w:t>
      </w:r>
      <w:r>
        <w:rPr>
          <w:rFonts w:cs="Arial Narrow" w:ascii="Arial Narrow" w:hAnsi="Arial Narrow"/>
          <w:sz w:val="18"/>
          <w:u w:val="single"/>
        </w:rPr>
        <w:t>“Requesting Party</w:t>
      </w:r>
      <w:r>
        <w:rPr>
          <w:rFonts w:cs="Arial Narrow" w:ascii="Arial Narrow" w:hAnsi="Arial Narrow"/>
          <w:sz w:val="18"/>
        </w:rPr>
        <w:t>”) that has provided Performance Assurance to the other party (the “</w:t>
      </w:r>
      <w:r>
        <w:rPr>
          <w:rFonts w:cs="Arial Narrow" w:ascii="Arial Narrow" w:hAnsi="Arial Narrow"/>
          <w:sz w:val="18"/>
          <w:u w:val="single"/>
        </w:rPr>
        <w:t>Non-Requesting Party</w:t>
      </w:r>
      <w:r>
        <w:rPr>
          <w:rFonts w:cs="Arial Narrow" w:ascii="Arial Narrow" w:hAnsi="Arial Narrow"/>
          <w:sz w:val="18"/>
        </w:rPr>
        <w:t>”) may request a reduction in the amount of Performance Assurance previously provided by it, provided that,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the reduction of the amount of an outstanding Letter of Credit previously issued for the benefit of the Non-Requesting Party and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a substitute Letter of Credit at least twenty (20) Business Days prior to the expiration of the outstanding Letter of Credit, and (iii) if the Issuer  shall fail to honor the Exposed Party's properly documented request to draw on an outstanding Letter of Credit, provide for the benefit of the Exposed Party a substitute Letter of Credit that is issued by a bank acceptable to the Exposed Party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(d)</w:t>
        <w:tab/>
        <w:t>Upon the occurrence of a Letter of Credit Default, the Non-Exposed Party agrees to cause another Issuer to deliver a substitute Letter of Credit to the Exposed Party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BodyTextIndent"/>
        <w:widowControl/>
        <w:tabs>
          <w:tab w:val="left" w:pos="720" w:leader="none"/>
        </w:tabs>
        <w:spacing w:before="0" w:after="0"/>
        <w:rPr/>
      </w:pPr>
      <w:r>
        <w:rPr/>
        <w:t>(f)</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collateral as security for the Non-Exposed Party’s obligations to the Exposed Party (and the Non-Exposed Party hereby pledges and grants to the Exposed Party as security for such obligations a first lien, priority security interest in and to such cash proceeds).  The Exposed Party shall either (y) apply such proceeds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6"/>
          <w:headerReference w:type="first" r:id="rId7"/>
          <w:footerReference w:type="default" r:id="rId8"/>
          <w:footerReference w:type="first" r:id="rId9"/>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end"/>
        <w:rPr>
          <w:rFonts w:ascii="Arial Narrow" w:hAnsi="Arial Narrow" w:cs="Arial Narrow"/>
          <w:b/>
          <w:sz w:val="18"/>
          <w:u w:val="single"/>
        </w:rPr>
      </w:pPr>
      <w:r>
        <w:rPr>
          <w:rFonts w:cs="Arial Narrow" w:ascii="Arial Narrow" w:hAnsi="Arial Narrow"/>
          <w:b/>
          <w:color w:val="FF0000"/>
          <w:sz w:val="18"/>
          <w:u w:val="single"/>
        </w:rPr>
        <w:t>ONE WAY CASH/LETTER OF CREDIT ISSUED BY COUNTERPARTY ONLY FORM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4"/>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w:t>
      </w:r>
      <w:r>
        <w:rPr>
          <w:rFonts w:cs="Arial Narrow" w:ascii="Arial Narrow" w:hAnsi="Arial Narrow"/>
          <w:sz w:val="18"/>
          <w:u w:val="single"/>
        </w:rPr>
        <w:t xml:space="preserve">            </w:t>
      </w:r>
      <w:r>
        <w:rPr>
          <w:rFonts w:cs="Arial Narrow" w:ascii="Arial Narrow" w:hAnsi="Arial Narrow"/>
          <w:sz w:val="18"/>
        </w:rPr>
        <w:t>;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ENA may demand in writing that Counterparty establish and maintain (subject to increase as provided below) (1) Performance Assurance for the benefit of ENA equal to Counterparty's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xml:space="preserve">,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headerReference w:type="default" r:id="rId10"/>
          <w:headerReference w:type="first" r:id="rId11"/>
          <w:footerReference w:type="default" r:id="rId12"/>
          <w:footerReference w:type="first" r:id="rId13"/>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end"/>
        <w:rPr>
          <w:rFonts w:ascii="Arial Narrow" w:hAnsi="Arial Narrow" w:cs="Arial Narrow"/>
          <w:b/>
          <w:sz w:val="18"/>
          <w:u w:val="single"/>
        </w:rPr>
      </w:pPr>
      <w:r>
        <w:rPr>
          <w:rFonts w:cs="Arial Narrow" w:ascii="Arial Narrow" w:hAnsi="Arial Narrow"/>
          <w:b/>
          <w:color w:val="FF0000"/>
          <w:sz w:val="18"/>
          <w:u w:val="single"/>
        </w:rPr>
        <w:t>TWO WAY CASH/LETTER OF CREDIT FORM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(i) ENA, $</w:t>
      </w:r>
      <w:r>
        <w:rPr>
          <w:rFonts w:cs="Arial Narrow" w:ascii="Arial Narrow" w:hAnsi="Arial Narrow"/>
          <w:sz w:val="18"/>
          <w:u w:val="single"/>
        </w:rPr>
        <w:t xml:space="preserve">                  </w:t>
      </w:r>
      <w:r>
        <w:rPr>
          <w:rFonts w:cs="Arial Narrow" w:ascii="Arial Narrow" w:hAnsi="Arial Narrow"/>
          <w:sz w:val="18"/>
        </w:rPr>
        <w:t xml:space="preserve"> and (ii) Counterparty, $______________; provided, however, that the Exposure Threshold for a party shall be zero upon the occurrence and during the continuance of a </w:t>
      </w:r>
      <w:r>
        <w:rPr>
          <w:rFonts w:cs="Arial Narrow" w:ascii="Arial Narrow" w:hAnsi="Arial Narrow"/>
          <w:color w:val="FF0000"/>
          <w:sz w:val="18"/>
        </w:rPr>
        <w:t>[</w:t>
      </w:r>
      <w:r>
        <w:rPr>
          <w:rFonts w:cs="Arial Narrow" w:ascii="Arial Narrow" w:hAnsi="Arial Narrow"/>
          <w:sz w:val="18"/>
        </w:rPr>
        <w:t>Material Adverse Change</w:t>
      </w:r>
      <w:r>
        <w:rPr>
          <w:rFonts w:cs="Arial Narrow" w:ascii="Arial Narrow" w:hAnsi="Arial Narrow"/>
          <w:color w:val="FF0000"/>
          <w:sz w:val="18"/>
        </w:rPr>
        <w:t>]</w:t>
      </w:r>
      <w:r>
        <w:rPr>
          <w:rFonts w:cs="Arial Narrow" w:ascii="Arial Narrow" w:hAnsi="Arial Narrow"/>
          <w:sz w:val="18"/>
        </w:rPr>
        <w:t xml:space="preserv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72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xml:space="preserve">,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On any Business Day (but no more frequently than weekly), a party (the “</w:t>
      </w:r>
      <w:r>
        <w:rPr>
          <w:u w:val="single"/>
        </w:rPr>
        <w:t>Requesting Party</w:t>
      </w:r>
      <w:r>
        <w:rPr/>
        <w:t>”) that has provided Performance Assurance to the other party (the “</w:t>
      </w:r>
      <w:r>
        <w:rPr>
          <w:u w:val="single"/>
        </w:rPr>
        <w:t>Non-Requesting Party</w:t>
      </w:r>
      <w:r>
        <w:rPr/>
        <w:t xml:space="preserve">”) may request a reduction in the amount of Performance Assurance previously provided by it, </w:t>
      </w:r>
      <w:r>
        <w:rPr>
          <w:u w:val="single"/>
        </w:rPr>
        <w:t>provided that</w:t>
      </w:r>
      <w:r>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BodyTextIndent2"/>
        <w:spacing w:lineRule="auto" w:line="240"/>
        <w:rPr/>
      </w:pPr>
      <w:r>
        <w:rPr/>
        <w:tab/>
        <w:t>(b)</w:t>
        <w:tab/>
        <w:t>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the Exposed Party’s properly documented request to draw on an outstanding Letter of Credit,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the Non-Exposed Party agrees to either cause another Issuer to deliver to the Exposed Party a substitute Letter of Credit, or alternatively, the Non-Exposed 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Exposed Party’s Rights and Remedies</w:t>
      </w:r>
      <w:r>
        <w:rPr>
          <w:rFonts w:cs="Arial Narrow" w:ascii="Arial Narrow" w:hAnsi="Arial Narrow"/>
          <w:sz w:val="18"/>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headerReference w:type="default" r:id="rId14"/>
          <w:headerReference w:type="first" r:id="rId15"/>
          <w:footerReference w:type="default" r:id="rId16"/>
          <w:footerReference w:type="first" r:id="rId17"/>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pStyle w:val="Normal"/>
        <w:rPr/>
      </w:pPr>
      <w:r>
        <w:rPr/>
      </w:r>
    </w:p>
    <w:p>
      <w:pPr>
        <w:pStyle w:val="Normal"/>
        <w:rPr/>
      </w:pPr>
      <w:r>
        <w:rPr/>
      </w:r>
    </w:p>
    <w:sectPr>
      <w:headerReference w:type="default" r:id="rId18"/>
      <w:headerReference w:type="first" r:id="rId19"/>
      <w:footerReference w:type="default" r:id="rId20"/>
      <w:footerReference w:type="first" r:id="rId21"/>
      <w:footnotePr>
        <w:numFmt w:val="decimal"/>
      </w:footnotePr>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/mnt/main-storage/datasets/enron-docs/doc/annexb_ENA_02_14_01.doc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7</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Fonts w:cs="Arial Narrow" w:ascii="Arial Narrow" w:hAnsi="Arial Narrow"/>
        <w:sz w:val="16"/>
      </w:rPr>
      <w:t>Annex B-1</w:t>
    </w:r>
  </w:p>
  <w:p>
    <w:pPr>
      <w:pStyle w:val="Footer"/>
      <w:jc w:val="center"/>
      <w:rPr/>
    </w:pPr>
    <w:r>
      <w:rPr>
        <w:rFonts w:cs="Arial Narrow" w:ascii="Arial Narrow" w:hAnsi="Arial Narrow"/>
        <w:sz w:val="16"/>
      </w:rPr>
      <w:t xml:space="preserve">Page </w:t>
    </w:r>
    <w:r>
      <w:rPr>
        <w:rFonts w:cs="Arial Narrow" w:ascii="Arial Narrow" w:hAnsi="Arial Narrow"/>
        <w:sz w:val="16"/>
      </w:rPr>
      <w:fldChar w:fldCharType="begin"/>
    </w:r>
    <w:r>
      <w:rPr>
        <w:sz w:val="16"/>
        <w:rFonts w:cs="Arial Narrow" w:ascii="Arial Narrow" w:hAnsi="Arial Narrow"/>
      </w:rPr>
      <w:instrText xml:space="preserve"> PAGE </w:instrText>
    </w:r>
    <w:r>
      <w:rPr>
        <w:sz w:val="16"/>
        <w:rFonts w:cs="Arial Narrow" w:ascii="Arial Narrow" w:hAnsi="Arial Narrow"/>
      </w:rPr>
      <w:fldChar w:fldCharType="separate"/>
    </w:r>
    <w:r>
      <w:rPr>
        <w:sz w:val="16"/>
        <w:rFonts w:cs="Arial Narrow" w:ascii="Arial Narrow" w:hAnsi="Arial Narrow"/>
      </w:rPr>
      <w:t>3</w:t>
    </w:r>
    <w:r>
      <w:rPr>
        <w:sz w:val="16"/>
        <w:rFonts w:cs="Arial Narrow" w:ascii="Arial Narrow" w:hAnsi="Arial Narrow"/>
      </w:rPr>
      <w:fldChar w:fldCharType="end"/>
    </w:r>
    <w:r>
      <w:rPr>
        <w:rFonts w:cs="Arial Narrow" w:ascii="Arial Narrow" w:hAnsi="Arial Narrow"/>
        <w:sz w:val="16"/>
      </w:rPr>
      <w:t xml:space="preserve"> of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3</w:t>
    </w:r>
    <w:r>
      <w:rPr>
        <w:rStyle w:val="PageNumber"/>
        <w:sz w:val="16"/>
        <w:rFonts w:cs="Arial Narrow" w:ascii="Arial Narrow" w:hAnsi="Arial Narrow"/>
      </w:rPr>
      <w:fldChar w:fldCharType="end"/>
    </w:r>
    <w:r>
      <w:rPr>
        <w:rStyle w:val="PageNumber"/>
        <w:rFonts w:cs="Arial Narrow" w:ascii="Arial Narrow" w:hAnsi="Arial Narrow"/>
        <w:sz w:val="16"/>
      </w:rPr>
      <w:t xml:space="preserve"> of 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 w:id="3">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 w:id="4">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 w:id="5">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 w:id="6">
    <w:p>
      <w:pPr>
        <w:pStyle w:val="FootnoteText"/>
        <w:rPr/>
      </w:pPr>
      <w:r>
        <w:rPr>
          <w:rStyle w:val="FootnoteCharacters"/>
        </w:rPr>
        <w:footnoteRef/>
      </w:r>
      <w:r>
        <w:rPr>
          <w:sz w:val="18"/>
        </w:rPr>
        <w:t xml:space="preserve"> </w:t>
      </w:r>
      <w:r>
        <w:rPr>
          <w:sz w:val="18"/>
        </w:rPr>
        <w:t xml:space="preserve">Insert the Credit Rating definition as (d) in Annex B-1’s – Certain Definitions section, then re-letter remaining definitions therein.  Only treat the Credit Rating definition in this manner, when there are no other additional definitions to include in Annex B.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2"/>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2001-03-08T12:07:00Z</dcterms:created>
  <dc:creator>mheard</dc:creator>
  <dc:description/>
  <dc:language>en-CA</dc:language>
  <cp:lastModifiedBy>sbaile2</cp:lastModifiedBy>
  <cp:lastPrinted>2001-03-08T18:21:00Z</cp:lastPrinted>
  <dcterms:modified xsi:type="dcterms:W3CDTF">2001-05-08T15:46:00Z</dcterms:modified>
  <cp:revision>9</cp:revision>
  <dc:subject/>
  <dc:title>DRAFT OF 10/15/99</dc:title>
</cp:coreProperties>
</file>