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5112" w:leader="none"/>
        </w:tabs>
        <w:jc w:val="both"/>
        <w:rPr>
          <w:sz w:val="20"/>
        </w:rPr>
      </w:pPr>
      <w:r>
        <w:rPr>
          <w:sz w:val="20"/>
        </w:rPr>
        <w:tab/>
      </w:r>
      <w:r>
        <w:rPr>
          <w:b/>
        </w:rPr>
        <w:t>Selected Transactions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b/>
          <w:sz w:val="20"/>
          <w:u w:val="single"/>
        </w:rPr>
        <w:t>Representation</w:t>
      </w:r>
      <w:r>
        <w:rPr>
          <w:sz w:val="20"/>
        </w:rPr>
        <w:tab/>
        <w:tab/>
        <w:tab/>
        <w:tab/>
      </w:r>
      <w:r>
        <w:rPr>
          <w:b/>
          <w:sz w:val="20"/>
          <w:u w:val="single"/>
        </w:rPr>
        <w:t>Transaction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El Paso Energy Communications</w:t>
        <w:tab/>
        <w:tab/>
        <w:t>Private placement of $50,000,000 of Series C Preferred Stock of Velocom Inc. (April 2000)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Rowan Companies, Inc.</w:t>
        <w:tab/>
        <w:tab/>
        <w:tab/>
        <w:t>Public offering of 10,300,000 shares of common stock (March 2000)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Salomon Smith Barney</w:t>
        <w:tab/>
        <w:tab/>
        <w:tab/>
        <w:t>Public offering of 9,000,000 shares of common stock of Forest Oil Corporation (August 1999)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Merrill Lynch &amp; Co.</w:t>
        <w:tab/>
        <w:tab/>
        <w:tab/>
        <w:t>Public offering of 3,162,500 shares of common stock of Stone Energy Corporation (July 1999)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YPF Sociedad Anónima</w:t>
        <w:tab/>
        <w:tab/>
        <w:tab/>
        <w:t>$13 billion tender offer by Repsol S.A. for all outstanding shares of YPF Sociedad Anónima (July 1999)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Credit Suisse First Boston</w:t>
        <w:tab/>
        <w:tab/>
        <w:tab/>
        <w:t>$93.75 million 144A offering of Term Income Deferred Equity Securities of Carriage Services, Inc. (June 1999)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Significant Shareholders of Sonat</w:t>
        <w:tab/>
        <w:tab/>
        <w:t>$6 billion merger of Sonat, Inc. and El Paso Energy Company (April 1999)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Lakehead Pipe Line Partners, L.P.</w:t>
        <w:tab/>
        <w:tab/>
        <w:t>Public offering of 2,700,000 common units (April 1999)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YPF Sociedad Anónima</w:t>
        <w:tab/>
        <w:tab/>
        <w:tab/>
        <w:t>Public offering of $100,000,000 medium-term notes (November 1998)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Lakehead Pipe Line Company,</w:t>
        <w:tab/>
        <w:tab/>
        <w:t>Public offering of $200,000,000 senior notes (October 1998)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Limited Partnership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Merrill Lynch &amp; Co.</w:t>
        <w:tab/>
        <w:tab/>
        <w:tab/>
        <w:t>Public offering of 3,000,000 shares of common stock of Carriage Services, Inc. (May 1998)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YPF Sociedad Anónima</w:t>
        <w:tab/>
        <w:tab/>
        <w:tab/>
        <w:t>Public offering of $350,000,000 medium-term notes (March 1998)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Zilkha Energy Company</w:t>
        <w:tab/>
        <w:tab/>
        <w:tab/>
        <w:t>$1.3 billion stock-for-stock merger with Sonat, Inc. (January 1998)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Morgan Keegan &amp; Company</w:t>
        <w:tab/>
        <w:tab/>
        <w:t>Public offering of 2,000,000 shares of common stock of Gulf Island Fabrication, Inc. (November 1997)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Johnson Rice &amp; Company</w:t>
        <w:tab/>
        <w:tab/>
        <w:tab/>
        <w:t>Public offering of 6,900,000 shares of common stock of Superior Energy Services, Inc. (November 1997)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Morgan Stanley Dean Witter</w:t>
        <w:tab/>
        <w:tab/>
        <w:t>Public offering of 5,750,000 shares of common stock of Dril-Quip, Inc. (October 1997)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 xml:space="preserve">Morgan Keegan &amp; Company </w:t>
        <w:tab/>
        <w:tab/>
        <w:t>Public offering of 2,815,000 shares of common stock of UNIFAB International, Inc. (September 1997)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YPF Sociedad Anónima</w:t>
        <w:tab/>
        <w:tab/>
        <w:tab/>
        <w:t>Public offering of 33,794,525 Class D shares (July 1997)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Prudential Securities</w:t>
        <w:tab/>
        <w:tab/>
        <w:tab/>
        <w:t>Public offering of 2,300,000 shares of common stock of Patterson Energy, Inc. (January 1997)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USA Waste Services, Inc.</w:t>
        <w:tab/>
        <w:tab/>
        <w:tab/>
        <w:t>$1.8 billion stock-for-stock merger with Sanifill Inc. (August 1996)</w:t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>
          <w:sz w:val="20"/>
        </w:rPr>
      </w:pPr>
      <w:r>
        <w:rPr>
          <w:sz w:val="20"/>
        </w:rPr>
        <w:t>USA Waste Services, Inc.</w:t>
        <w:tab/>
        <w:tab/>
        <w:tab/>
        <w:t>$600 million stock-for-stock merger with Western Waste Industries (May 1996)</w:t>
      </w:r>
    </w:p>
    <w:sectPr>
      <w:type w:val="nextPage"/>
      <w:pgSz w:w="12240" w:h="15840"/>
      <w:pgMar w:left="1008" w:right="1008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2000-05-22T13:53:00Z</dcterms:created>
  <dc:creator>Andrews &amp; Kurth, L.L.P.</dc:creator>
  <dc:description/>
  <dc:language>en-CA</dc:language>
  <cp:lastModifiedBy>Andrews &amp; Kurth, L.L.P.</cp:lastModifiedBy>
  <dcterms:modified xsi:type="dcterms:W3CDTF">2000-05-22T13:53:00Z</dcterms:modified>
  <cp:revision>2</cp:revision>
  <dc:subject/>
  <dc:title/>
</cp:coreProperties>
</file>