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Amerex Natural Gas I, Ltd.</w:t>
      </w:r>
    </w:p>
    <w:p>
      <w:pPr>
        <w:pStyle w:val="Normal"/>
        <w:jc w:val="both"/>
        <w:rPr>
          <w:rFonts w:ascii="Times New Roman" w:hAnsi="Times New Roman" w:cs="Times New Roman"/>
          <w:sz w:val="22"/>
        </w:rPr>
      </w:pPr>
      <w:r>
        <w:rPr>
          <w:rFonts w:cs="Times New Roman" w:ascii="Times New Roman" w:hAnsi="Times New Roman"/>
          <w:sz w:val="22"/>
        </w:rPr>
        <w:t>1 Sugar Creed Ctr Blvd. #700</w:t>
      </w:r>
    </w:p>
    <w:p>
      <w:pPr>
        <w:pStyle w:val="Normal"/>
        <w:jc w:val="both"/>
        <w:rPr>
          <w:rFonts w:ascii="Times New Roman" w:hAnsi="Times New Roman" w:cs="Times New Roman"/>
          <w:sz w:val="22"/>
        </w:rPr>
      </w:pPr>
      <w:r>
        <w:rPr>
          <w:rFonts w:cs="Times New Roman" w:ascii="Times New Roman" w:hAnsi="Times New Roman"/>
          <w:sz w:val="22"/>
        </w:rPr>
        <w:t>Sugar Land, Texas  77478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Amerex Natural Gas I, Ltd. and Enron North America Corp.,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AMEREX NATURAL GAS I, LTD.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/mnt/main-storage/datasets/enron-docs/doc/amerex_natural_gas-6be95a5e4d8ffcedfbe3e9483cf53286c37f0ee60a8d1e9345414e9e423be8de.doc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Amerex Natural Gas I, Ltd.</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2000-11-09T13:31:00Z</dcterms:created>
  <dc:creator>ECT</dc:creator>
  <dc:description/>
  <dc:language>en-CA</dc:language>
  <cp:lastModifiedBy>tjones</cp:lastModifiedBy>
  <cp:lastPrinted>2000-11-09T10:01:00Z</cp:lastPrinted>
  <dcterms:modified xsi:type="dcterms:W3CDTF">2000-11-09T13:31:00Z</dcterms:modified>
  <cp:revision>2</cp:revision>
  <dc:subject/>
  <dc:title>Reciprocal Confidentiality Agreement</dc:title>
</cp:coreProperties>
</file>