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13, 2000</w:t>
      </w:r>
    </w:p>
    <w:p>
      <w:pPr>
        <w:pStyle w:val="Normal"/>
        <w:jc w:val="center"/>
        <w:rPr>
          <w:sz w:val="22"/>
        </w:rPr>
      </w:pPr>
      <w:r>
        <w:rPr>
          <w:sz w:val="22"/>
        </w:rPr>
      </w:r>
    </w:p>
    <w:p>
      <w:pPr>
        <w:pStyle w:val="Normal"/>
        <w:jc w:val="both"/>
        <w:rPr>
          <w:sz w:val="22"/>
        </w:rPr>
      </w:pPr>
      <w:r>
        <w:rPr>
          <w:sz w:val="22"/>
        </w:rPr>
        <w:t>[Amerex]</w:t>
      </w:r>
    </w:p>
    <w:p>
      <w:pPr>
        <w:pStyle w:val="Normal"/>
        <w:jc w:val="both"/>
        <w:rPr>
          <w:sz w:val="22"/>
        </w:rPr>
      </w:pPr>
      <w:r>
        <w:rPr>
          <w:sz w:val="22"/>
        </w:rPr>
        <w:t>Amerex Power, Ltd.</w:t>
      </w:r>
    </w:p>
    <w:p>
      <w:pPr>
        <w:pStyle w:val="Normal"/>
        <w:jc w:val="both"/>
        <w:rPr>
          <w:sz w:val="22"/>
        </w:rPr>
      </w:pPr>
      <w:r>
        <w:rPr>
          <w:sz w:val="22"/>
        </w:rPr>
        <w:t>Amerex Natural Gas I, Ltd.</w:t>
      </w:r>
    </w:p>
    <w:p>
      <w:pPr>
        <w:pStyle w:val="Normal"/>
        <w:jc w:val="both"/>
        <w:rPr>
          <w:sz w:val="22"/>
        </w:rPr>
      </w:pPr>
      <w:r>
        <w:rPr>
          <w:sz w:val="22"/>
        </w:rPr>
        <w:t>1 Sugar Creek Ctr Blvd, Ste #700</w:t>
      </w:r>
    </w:p>
    <w:p>
      <w:pPr>
        <w:pStyle w:val="Normal"/>
        <w:jc w:val="both"/>
        <w:rPr>
          <w:sz w:val="22"/>
        </w:rPr>
      </w:pPr>
      <w:r>
        <w:rPr>
          <w:sz w:val="22"/>
        </w:rPr>
        <w:t>Sugar Land, TX  77478</w:t>
      </w:r>
    </w:p>
    <w:p>
      <w:pPr>
        <w:pStyle w:val="Normal"/>
        <w:jc w:val="both"/>
        <w:rPr>
          <w:sz w:val="22"/>
          <w:u w:val="single"/>
        </w:rPr>
      </w:pPr>
      <w:r>
        <w:rPr>
          <w:sz w:val="22"/>
          <w:u w:val="single"/>
        </w:rPr>
      </w:r>
    </w:p>
    <w:p>
      <w:pPr>
        <w:pStyle w:val="Normal"/>
        <w:jc w:val="both"/>
        <w:rPr>
          <w:sz w:val="22"/>
        </w:rPr>
      </w:pPr>
      <w:r>
        <w:rPr>
          <w:sz w:val="22"/>
        </w:rPr>
        <w:t>Attn:  Steve Town</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[Amerex Power, Ltd. and Amerex Natural Gas I, Ltd.] (collectively "Amerex")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Amerex’s ability to execute on EnronOnline on behalf of its customers, all in accordance with the terms and conditions set forth in this letter and the attached Term Sheet (the transactions described in this letter and Term Sheet are referred to collectively as the “Transaction”).  </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Amerex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Amerex are unable to execute the Definitive Agreements by the Closing Date, unless extended by mutual agreement of the parties, this letter shall be deemed terminated, and neither Enron nor Amerex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Amerex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Amerex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pPr>
      <w:r>
        <w:rPr>
          <w:sz w:val="22"/>
        </w:rPr>
        <w:t>Name:</w:t>
        <w:tab/>
      </w:r>
      <w:r>
        <w:rPr>
          <w:sz w:val="22"/>
          <w:u w:val="single"/>
        </w:rPr>
        <w:tab/>
      </w:r>
      <w:r>
        <w:rPr>
          <w:sz w:val="22"/>
        </w:rPr>
        <w:tab/>
      </w:r>
    </w:p>
    <w:p>
      <w:pPr>
        <w:pStyle w:val="Normal"/>
        <w:tabs>
          <w:tab w:val="clear" w:pos="720"/>
          <w:tab w:val="left" w:pos="5040" w:leader="none"/>
          <w:tab w:val="right" w:pos="9360" w:leader="none"/>
        </w:tabs>
        <w:ind w:start="4320" w:end="0"/>
        <w:jc w:val="both"/>
        <w:rPr/>
      </w:pPr>
      <w:r>
        <w:rPr>
          <w:sz w:val="22"/>
        </w:rPr>
        <w:t>Title:</w:t>
        <w:tab/>
      </w:r>
      <w:r>
        <w:rPr>
          <w:sz w:val="22"/>
          <w:u w:val="single"/>
        </w:rPr>
        <w:tab/>
      </w:r>
      <w:r>
        <w:rPr>
          <w:sz w:val="22"/>
        </w:rPr>
        <w:tab/>
      </w:r>
    </w:p>
    <w:p>
      <w:pPr>
        <w:pStyle w:val="Normal"/>
        <w:ind w:start="4320" w:end="0"/>
        <w:jc w:val="both"/>
        <w:rPr>
          <w:sz w:val="22"/>
        </w:rPr>
      </w:pPr>
      <w:r>
        <w:rPr>
          <w:sz w:val="22"/>
        </w:rPr>
      </w:r>
      <w:r>
        <w:br w:type="page"/>
      </w:r>
    </w:p>
    <w:p>
      <w:pPr>
        <w:pStyle w:val="Normal"/>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Power,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Heading"/>
        <w:rPr>
          <w:sz w:val="22"/>
          <w:u w:val="single"/>
        </w:rPr>
      </w:pPr>
      <w:r>
        <w:rPr>
          <w:sz w:val="22"/>
          <w:u w:val="single"/>
        </w:rPr>
      </w:r>
    </w:p>
    <w:p>
      <w:pPr>
        <w:pStyle w:val="Heading"/>
        <w:rPr>
          <w:sz w:val="22"/>
        </w:rPr>
      </w:pPr>
      <w:r>
        <w:rPr>
          <w:sz w:val="22"/>
        </w:rPr>
      </w:r>
    </w:p>
    <w:p>
      <w:pPr>
        <w:pStyle w:val="Heading"/>
        <w:rPr/>
      </w:pPr>
      <w:r>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Natural Gas I,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Heading"/>
        <w:jc w:val="start"/>
        <w:rPr>
          <w:b w:val="false"/>
        </w:rPr>
      </w:pPr>
      <w:r>
        <w:rPr>
          <w:b w:val="false"/>
          <w:sz w:val="22"/>
        </w:rPr>
        <w:t>Title:</w:t>
        <w:tab/>
      </w:r>
      <w:r>
        <w:rPr>
          <w:b w:val="false"/>
          <w:sz w:val="22"/>
          <w:u w:val="single"/>
        </w:rPr>
        <w:tab/>
        <w:tab/>
        <w:tab/>
        <w:tab/>
        <w:tab/>
        <w:tab/>
      </w:r>
      <w:r>
        <w:br w:type="page"/>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[Amerex Power, Ltd. and Amerex Natural Gas I, Ltd.], a ___________ ("Amerex") is a broker representing certain entities in connection with their transactions for the purchase or sale of energy commodities.  In the proposed transaction, Enron will permit Amerex to enter into transactions with Enron through a website for the purchase and sale of energy commodities on behalf of Amerex’s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Amerex’s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Amerex, pursuant to a Fee Agreement in form and substance satisfactory to Enron (and containing certain provsions similar to the Password Applications executed by all EnronOnline customers), a Transaction ID that would allow Amerex to execute transactions on the website for Specified Products (to be defined, but anticipated to include Natural Gas; Power; Bandwidth; and Oil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w:t>
            </w:r>
            <w:del w:id="0" w:author="rshults" w:date="2001-01-03T14:24:00Z">
              <w:r>
                <w:rPr>
                  <w:b w:val="false"/>
                  <w:sz w:val="22"/>
                </w:rPr>
                <w:delText>BTA</w:delText>
              </w:r>
            </w:del>
            <w:ins w:id="1" w:author="rshults" w:date="2001-01-03T14:24:00Z">
              <w:r>
                <w:rPr>
                  <w:b w:val="false"/>
                  <w:sz w:val="22"/>
                </w:rPr>
                <w:t>BETA</w:t>
              </w:r>
            </w:ins>
            <w:r>
              <w:rPr>
                <w:b w:val="false"/>
                <w:sz w:val="22"/>
              </w:rPr>
              <w:t xml:space="preserve">") with EnronOnline for a term of one year. The </w:t>
            </w:r>
            <w:del w:id="2" w:author="rshults" w:date="2001-01-03T14:24:00Z">
              <w:r>
                <w:rPr>
                  <w:b w:val="false"/>
                  <w:sz w:val="22"/>
                </w:rPr>
                <w:delText>BTA</w:delText>
              </w:r>
            </w:del>
            <w:ins w:id="3" w:author="rshults" w:date="2001-01-03T14:24:00Z">
              <w:r>
                <w:rPr>
                  <w:b w:val="false"/>
                  <w:sz w:val="22"/>
                </w:rPr>
                <w:t>BETA</w:t>
              </w:r>
            </w:ins>
            <w:r>
              <w:rPr>
                <w:b w:val="false"/>
                <w:sz w:val="22"/>
              </w:rPr>
              <w:t xml:space="preserve"> would grant Amerex the ability to execute on the website, for the benefit of specified Amerex customers identified to and approved by Enron using a software application developed by Enron for this purpose. Amerex may also may request the initiation of an execution with Enron telephonically based upon the numbers posted on EnronOnline. </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rPr>
                <w:b/>
                <w:sz w:val="22"/>
              </w:rPr>
            </w:pPr>
            <w:del w:id="4" w:author="rshults" w:date="2001-01-03T14:25:00Z">
              <w:r>
                <w:rPr>
                  <w:b/>
                  <w:sz w:val="22"/>
                </w:rPr>
                <w:delText xml:space="preserve">. </w:delText>
              </w:r>
            </w:del>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Executions initiated by Amerex, on behalf and for the account of an Amerex customer shall occur at the time Enron signifies acceptance of the Brokers offer on the website.  The software application would, upon an execution attempt by Amerex on behalf of an Amerex customer, check for available credit against the Enron database utilizing Amerex customer’s credit availability.  Executions completed by Amerex on the website on behalf of an Amerex customer would, upon execution, bind the Amerex customer to a transaction pursuant to the operative agreement between Enron and the Amerex customer.  Upon execution of a transaction on website, the software application would identify the  counterparty to the website as Amerex, as well as the Amerex customer. Executed transactions done on the website by Amerex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 xml:space="preserve">In the event that Amerex fails or refuses to confirm a transaction or Amerex’s customer fails or refuses to accept the transaction for which Amerex has made an execution,, Amerex will pay to Enron an amount equal to Enron's Liquidated Damages (to be defined in the Definitive Agreements, but essentially "breakage" costs associated with unwinding the trade and any associated hedging transactions). </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Amerex’s obligations with respect to Liquidated Damages for failed assignments, Amerex would deposit, in a margin account with Enron or its designated affiliate, letters of credit from a bank acceptable to Enron in an amount to be agreed and subject to adjustment from time to time based on changes in Amerex’s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consideration for entering into the license agreement, Amerex would pay Enron a license fee of $</w:t>
            </w:r>
            <w:del w:id="5" w:author="rshults" w:date="2001-01-03T14:18:00Z">
              <w:r>
                <w:rPr>
                  <w:b w:val="false"/>
                  <w:sz w:val="22"/>
                </w:rPr>
                <w:delText>50</w:delText>
              </w:r>
            </w:del>
            <w:ins w:id="6" w:author="rshults" w:date="2001-01-03T14:18:00Z">
              <w:r>
                <w:rPr>
                  <w:b w:val="false"/>
                  <w:sz w:val="22"/>
                </w:rPr>
                <w:t>25</w:t>
              </w:r>
            </w:ins>
            <w:r>
              <w:rPr>
                <w:b w:val="false"/>
                <w:sz w:val="22"/>
              </w:rPr>
              <w:t xml:space="preserve">0,000 </w:t>
            </w:r>
            <w:ins w:id="7" w:author="rshults" w:date="2001-01-03T14:28:00Z">
              <w:r>
                <w:rPr>
                  <w:b w:val="false"/>
                  <w:sz w:val="22"/>
                </w:rPr>
                <w:t xml:space="preserve">payable </w:t>
              </w:r>
            </w:ins>
            <w:r>
              <w:rPr>
                <w:b w:val="false"/>
                <w:sz w:val="22"/>
              </w:rPr>
              <w:t xml:space="preserve">in equal monthly installments and no brokerage fee or commission will be payable by Enron in connection with any transaction completed by Amerex through the website or using a website price when initiating a telephonic execution.  </w:t>
            </w:r>
            <w:ins w:id="8" w:author="rshults" w:date="2001-01-03T14:30:00Z">
              <w:r>
                <w:rPr>
                  <w:b w:val="false"/>
                  <w:sz w:val="22"/>
                </w:rPr>
                <w:t xml:space="preserve">At the end of the one year term, Amerex and Enron may negotiate </w:t>
              </w:r>
            </w:ins>
            <w:del w:id="9" w:author="rshults" w:date="2001-01-03T14:30:00Z">
              <w:r>
                <w:rPr>
                  <w:b w:val="false"/>
                  <w:sz w:val="22"/>
                </w:rPr>
                <w:delText>R</w:delText>
              </w:r>
            </w:del>
            <w:ins w:id="10" w:author="rshults" w:date="2001-01-03T14:30:00Z">
              <w:r>
                <w:rPr>
                  <w:b w:val="false"/>
                  <w:sz w:val="22"/>
                </w:rPr>
                <w:t>r</w:t>
              </w:r>
            </w:ins>
            <w:r>
              <w:rPr>
                <w:b w:val="false"/>
                <w:sz w:val="22"/>
              </w:rPr>
              <w:t>enewal rights and renewal fees</w:t>
            </w:r>
            <w:ins w:id="11" w:author="rshults" w:date="2001-01-03T14:31:00Z">
              <w:r>
                <w:rPr>
                  <w:b w:val="false"/>
                  <w:sz w:val="22"/>
                </w:rPr>
                <w:t xml:space="preserve"> subject to a </w:t>
              </w:r>
            </w:ins>
            <w:ins w:id="12" w:author="rshults" w:date="2001-01-03T14:33:00Z">
              <w:r>
                <w:rPr>
                  <w:b w:val="false"/>
                  <w:sz w:val="22"/>
                </w:rPr>
                <w:t xml:space="preserve">10% </w:t>
              </w:r>
            </w:ins>
            <w:ins w:id="13" w:author="rshults" w:date="2001-01-03T14:31:00Z">
              <w:r>
                <w:rPr>
                  <w:b w:val="false"/>
                  <w:sz w:val="22"/>
                </w:rPr>
                <w:t>cap on any license fee increase.</w:t>
              </w:r>
            </w:ins>
            <w:del w:id="14" w:author="rshults" w:date="2001-01-03T14:33:00Z">
              <w:r>
                <w:rPr>
                  <w:b w:val="false"/>
                  <w:sz w:val="22"/>
                </w:rPr>
                <w:delText xml:space="preserve"> are to be negotiated</w:delText>
              </w:r>
            </w:del>
            <w:del w:id="15" w:author="rshults" w:date="2001-01-03T14:28:00Z">
              <w:r>
                <w:rPr>
                  <w:b w:val="false"/>
                  <w:sz w:val="22"/>
                </w:rPr>
                <w:delText>.</w:delText>
              </w:r>
            </w:del>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w:t>
            </w:r>
            <w:del w:id="16" w:author="rshults" w:date="2001-01-03T14:24:00Z">
              <w:r>
                <w:rPr>
                  <w:sz w:val="22"/>
                </w:rPr>
                <w:delText>BTA</w:delText>
              </w:r>
            </w:del>
            <w:ins w:id="17" w:author="rshults" w:date="2001-01-03T14:24:00Z">
              <w:r>
                <w:rPr>
                  <w:sz w:val="22"/>
                </w:rPr>
                <w:t>BETA</w:t>
              </w:r>
            </w:ins>
            <w:r>
              <w:rPr>
                <w:sz w:val="22"/>
              </w:rPr>
              <w:t xml:space="preserve"> would include other terms and provisions acceptable to Enron and Amerex (to be negotiated, but including those included within the Electronic Transactions Agreement routinely entered into between EnronOnline and its customers).  Amerex acknowledges that Enron may also require Amerex to obtain certain agreements with Amerex’s customers with respect to the Amerex’s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w:t>
            </w:r>
            <w:del w:id="18" w:author="rshults" w:date="2001-01-03T14:24:00Z">
              <w:r>
                <w:rPr>
                  <w:sz w:val="22"/>
                </w:rPr>
                <w:delText>BTA</w:delText>
              </w:r>
            </w:del>
            <w:ins w:id="19" w:author="rshults" w:date="2001-01-03T14:24:00Z">
              <w:r>
                <w:rPr>
                  <w:sz w:val="22"/>
                </w:rPr>
                <w:t>BETA</w:t>
              </w:r>
            </w:ins>
            <w:r>
              <w:rPr>
                <w:sz w:val="22"/>
              </w:rPr>
              <w:t xml:space="preserve"> will be terminable prior to the expiration of the one-year term At Enron’s discretion.  If the </w:t>
            </w:r>
            <w:del w:id="20" w:author="rshults" w:date="2001-01-03T14:24:00Z">
              <w:r>
                <w:rPr>
                  <w:sz w:val="22"/>
                </w:rPr>
                <w:delText>BTA</w:delText>
              </w:r>
            </w:del>
            <w:ins w:id="21" w:author="rshults" w:date="2001-01-03T14:24:00Z">
              <w:r>
                <w:rPr>
                  <w:sz w:val="22"/>
                </w:rPr>
                <w:t>BETA</w:t>
              </w:r>
            </w:ins>
            <w:r>
              <w:rPr>
                <w:sz w:val="22"/>
              </w:rPr>
              <w:t xml:space="preserve"> is terminated during the term at a time when Amerex is not in default under the dDefinitive Agreements, a pro rata portion of the annual access fee will be refunded to Amerex.</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Amerex,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Amerex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Amerex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o:eol\legal documents\loi Amerex.doc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2001-01-03T18:04:00Z</dcterms:created>
  <dc:creator>tmccull</dc:creator>
  <dc:description/>
  <dc:language>en-CA</dc:language>
  <cp:lastModifiedBy>rshults</cp:lastModifiedBy>
  <cp:lastPrinted>2000-12-13T15:39:00Z</cp:lastPrinted>
  <dcterms:modified xsi:type="dcterms:W3CDTF">2001-01-03T18:04:00Z</dcterms:modified>
  <cp:revision>2</cp:revision>
  <dc:subject/>
  <dc:title>ATTACHMENT “A”</dc:title>
</cp:coreProperties>
</file>