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AMENDMENT TO ABX-1</w:t>
      </w:r>
    </w:p>
    <w:p>
      <w:pPr>
        <w:pStyle w:val="Normal"/>
        <w:jc w:val="center"/>
        <w:rPr>
          <w:b/>
          <w:sz w:val="24"/>
        </w:rPr>
      </w:pPr>
      <w:r>
        <w:rPr>
          <w:b/>
          <w:sz w:val="24"/>
        </w:rPr>
        <w:t>TO PRESERVE CUSTOMERS’ DIRECT ACCESS RIGHTS</w:t>
      </w:r>
    </w:p>
    <w:p>
      <w:pPr>
        <w:pStyle w:val="Normal"/>
        <w:rPr>
          <w:b/>
          <w:sz w:val="24"/>
        </w:rPr>
      </w:pPr>
      <w:r>
        <w:rPr>
          <w:b/>
          <w:sz w:val="24"/>
        </w:rPr>
      </w:r>
    </w:p>
    <w:p>
      <w:pPr>
        <w:pStyle w:val="Normal"/>
        <w:rPr>
          <w:b/>
          <w:sz w:val="24"/>
        </w:rPr>
      </w:pPr>
      <w:r>
        <w:rPr>
          <w:b/>
          <w:sz w:val="24"/>
        </w:rPr>
      </w:r>
    </w:p>
    <w:p>
      <w:pPr>
        <w:pStyle w:val="Normal"/>
        <w:rPr>
          <w:sz w:val="24"/>
        </w:rPr>
      </w:pPr>
      <w:r>
        <w:rPr>
          <w:sz w:val="24"/>
        </w:rPr>
        <w:t>Page 12, line 39:</w:t>
      </w:r>
    </w:p>
    <w:p>
      <w:pPr>
        <w:pStyle w:val="Normal"/>
        <w:rPr>
          <w:sz w:val="24"/>
        </w:rPr>
      </w:pPr>
      <w:r>
        <w:rPr>
          <w:sz w:val="24"/>
        </w:rPr>
      </w:r>
    </w:p>
    <w:p>
      <w:pPr>
        <w:pStyle w:val="Normal"/>
        <w:rPr>
          <w:sz w:val="24"/>
        </w:rPr>
      </w:pPr>
      <w:r>
        <w:rPr>
          <w:sz w:val="24"/>
        </w:rPr>
        <w:t>Delete all text commencing with the words “After the passage…” through the words,</w:t>
      </w:r>
    </w:p>
    <w:p>
      <w:pPr>
        <w:pStyle w:val="Normal"/>
        <w:rPr>
          <w:sz w:val="24"/>
        </w:rPr>
      </w:pPr>
      <w:r>
        <w:rPr>
          <w:sz w:val="24"/>
        </w:rPr>
        <w:t xml:space="preserve"> “…</w:t>
      </w:r>
      <w:r>
        <w:rPr>
          <w:sz w:val="24"/>
        </w:rPr>
        <w:t>.no longer supplies power hereunder.”  on page 13, at line 5.</w:t>
      </w:r>
    </w:p>
    <w:p>
      <w:pPr>
        <w:pStyle w:val="Normal"/>
        <w:rPr>
          <w:sz w:val="24"/>
        </w:rPr>
      </w:pPr>
      <w:r>
        <w:rPr>
          <w:sz w:val="24"/>
        </w:rPr>
      </w:r>
    </w:p>
    <w:p>
      <w:pPr>
        <w:pStyle w:val="Normal"/>
        <w:rPr>
          <w:sz w:val="24"/>
        </w:rPr>
      </w:pPr>
      <w:r>
        <w:rPr>
          <w:sz w:val="24"/>
        </w:rPr>
        <w:t>Replace with the following:</w:t>
      </w:r>
    </w:p>
    <w:p>
      <w:pPr>
        <w:pStyle w:val="Normal"/>
        <w:rPr>
          <w:sz w:val="24"/>
        </w:rPr>
      </w:pPr>
      <w:r>
        <w:rPr>
          <w:sz w:val="24"/>
        </w:rPr>
      </w:r>
    </w:p>
    <w:p>
      <w:pPr>
        <w:pStyle w:val="Normal"/>
        <w:rPr>
          <w:sz w:val="24"/>
        </w:rPr>
      </w:pPr>
      <w:r>
        <w:rPr>
          <w:sz w:val="24"/>
        </w:rPr>
        <w:t>Nothing in this chapter shall restrict the existing rights of retail end use customers to be served by other providers under contracts in existence on the effective date of this legislation.  From the date that the department commences supplying power to the customers of electric corporations, retail end use customers currently receiving electric service from such electric corporations may elect to be served by other providers, but shall comply with such reasonable terms and conditions, including the payment of fees or surcharges,  as are determined by the commission to preserve customers’ rights to elect alternative providers while ensuring that the department does not incur substantial additional expense as a result of the customers’ exercise of such rights.   In determining such reasonable terms and conditions for electing alternative service providers, the commission shall not require a customer electing an alternative provider to pay any charges or fees to offset costs which are not directly related to the change in provider of the customer’s electric service.</w:t>
      </w:r>
    </w:p>
    <w:p>
      <w:pPr>
        <w:pStyle w:val="Normal"/>
        <w:rPr>
          <w:sz w:val="24"/>
        </w:rPr>
      </w:pPr>
      <w:r>
        <w:rPr>
          <w:sz w:val="24"/>
        </w:rPr>
      </w:r>
    </w:p>
    <w:p>
      <w:pPr>
        <w:pStyle w:val="Normal"/>
        <w:rPr>
          <w:sz w:val="24"/>
        </w:rPr>
      </w:pPr>
      <w:r>
        <w:rPr>
          <w:sz w:val="24"/>
        </w:rPr>
      </w:r>
      <w:r>
        <w:br w:type="page"/>
      </w:r>
    </w:p>
    <w:p>
      <w:pPr>
        <w:pStyle w:val="Normal"/>
        <w:jc w:val="center"/>
        <w:rPr>
          <w:b/>
          <w:sz w:val="24"/>
        </w:rPr>
      </w:pPr>
      <w:r>
        <w:rPr>
          <w:b/>
          <w:sz w:val="24"/>
        </w:rPr>
        <w:t>ARGUMENTS IN SUPPORT OF AMENDMENT TO PRESERVE CUSTOMERS’ DIRECT ACCESS RIGHTS</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numPr>
          <w:ilvl w:val="0"/>
          <w:numId w:val="7"/>
        </w:numPr>
        <w:rPr>
          <w:sz w:val="24"/>
        </w:rPr>
      </w:pPr>
      <w:r>
        <w:rPr>
          <w:sz w:val="24"/>
        </w:rPr>
        <w:t>The existing provisions of ABX-1 prohibit customers and energy service providers from performing under existing direct access contracts or entering into new direct access contracts while the DWR is purchasing power.</w:t>
      </w:r>
    </w:p>
    <w:p>
      <w:pPr>
        <w:pStyle w:val="Normal"/>
        <w:rPr>
          <w:sz w:val="24"/>
        </w:rPr>
      </w:pPr>
      <w:r>
        <w:rPr>
          <w:sz w:val="24"/>
        </w:rPr>
      </w:r>
    </w:p>
    <w:p>
      <w:pPr>
        <w:pStyle w:val="Normal"/>
        <w:numPr>
          <w:ilvl w:val="0"/>
          <w:numId w:val="6"/>
        </w:numPr>
        <w:rPr>
          <w:sz w:val="24"/>
        </w:rPr>
      </w:pPr>
      <w:r>
        <w:rPr>
          <w:sz w:val="24"/>
        </w:rPr>
        <w:t>Existing customers, such as the UC/CSU system, will lose the extremely valuable benefits they have received by having direct access contracts in place—contracts that insulated the UC/CSU system from the price spikes experienced by other customers in the SDG&amp;E territory.</w:t>
      </w:r>
    </w:p>
    <w:p>
      <w:pPr>
        <w:pStyle w:val="Normal"/>
        <w:rPr>
          <w:sz w:val="24"/>
        </w:rPr>
      </w:pPr>
      <w:r>
        <w:rPr>
          <w:sz w:val="24"/>
        </w:rPr>
      </w:r>
    </w:p>
    <w:p>
      <w:pPr>
        <w:pStyle w:val="Normal"/>
        <w:numPr>
          <w:ilvl w:val="0"/>
          <w:numId w:val="5"/>
        </w:numPr>
        <w:rPr>
          <w:sz w:val="24"/>
        </w:rPr>
      </w:pPr>
      <w:r>
        <w:rPr>
          <w:sz w:val="24"/>
        </w:rPr>
        <w:t>Other substantial benefits of direct access would be lost under this provision:</w:t>
      </w:r>
    </w:p>
    <w:p>
      <w:pPr>
        <w:pStyle w:val="Normal"/>
        <w:ind w:start="720" w:end="0"/>
        <w:rPr>
          <w:sz w:val="24"/>
        </w:rPr>
      </w:pPr>
      <w:r>
        <w:rPr>
          <w:sz w:val="24"/>
        </w:rPr>
      </w:r>
    </w:p>
    <w:p>
      <w:pPr>
        <w:pStyle w:val="BodyTextIndent"/>
        <w:numPr>
          <w:ilvl w:val="0"/>
          <w:numId w:val="3"/>
        </w:numPr>
        <w:rPr/>
      </w:pPr>
      <w:r>
        <w:rPr/>
        <w:t>Direct access providers buy the power for their own customers, reducing the obligation of the DWR to buy such power, thereby reducing the need to use bonds or general fund monies to buy power for these customers.</w:t>
      </w:r>
    </w:p>
    <w:p>
      <w:pPr>
        <w:pStyle w:val="Normal"/>
        <w:numPr>
          <w:ilvl w:val="0"/>
          <w:numId w:val="8"/>
        </w:numPr>
        <w:rPr>
          <w:sz w:val="24"/>
        </w:rPr>
      </w:pPr>
      <w:r>
        <w:rPr>
          <w:sz w:val="24"/>
        </w:rPr>
        <w:t>Many customers, large and small, benefit substantially from the ability to craft direct access agreements which fit their individual needs, while the DWR is crafting a “one-size-fits-all” approach to power buying.</w:t>
      </w:r>
    </w:p>
    <w:p>
      <w:pPr>
        <w:pStyle w:val="Normal"/>
        <w:rPr>
          <w:sz w:val="24"/>
        </w:rPr>
      </w:pPr>
      <w:r>
        <w:rPr>
          <w:sz w:val="24"/>
        </w:rPr>
      </w:r>
    </w:p>
    <w:p>
      <w:pPr>
        <w:pStyle w:val="Normal"/>
        <w:rPr>
          <w:sz w:val="24"/>
        </w:rPr>
      </w:pPr>
      <w:r>
        <w:rPr>
          <w:sz w:val="24"/>
        </w:rPr>
      </w:r>
    </w:p>
    <w:p>
      <w:pPr>
        <w:pStyle w:val="BodyText"/>
        <w:numPr>
          <w:ilvl w:val="0"/>
          <w:numId w:val="5"/>
        </w:numPr>
        <w:rPr/>
      </w:pPr>
      <w:r>
        <w:rPr/>
        <w:t>The argument that DWR needs to prevent existing bundled customers from switching to other providers is not valid.  DWR should not serve the entire “net short” position of the utilities with long term, inflexible contracts, and it should have sufficient flexibility in its purchasing agreements, particularly with the broad powers granted in Sec. 80100(f) to use options and forward contracts, to accommodate a reasonable number of transfers of customers to and from direct access.</w:t>
      </w:r>
    </w:p>
    <w:p>
      <w:pPr>
        <w:pStyle w:val="BodyText"/>
        <w:rPr/>
      </w:pPr>
      <w:r>
        <w:rPr/>
      </w:r>
    </w:p>
    <w:p>
      <w:pPr>
        <w:pStyle w:val="BodyText"/>
        <w:numPr>
          <w:ilvl w:val="0"/>
          <w:numId w:val="2"/>
        </w:numPr>
        <w:rPr/>
      </w:pPr>
      <w:r>
        <w:rPr/>
        <w:t>The solution is to expressly preserve the right of customers to continue their existing direct access transactions, and to permit existing bundled customers to choose an alternative provider, while allowing the CPUC to craft reasonable conditions on such transfers to protect the DWR.  If DWR will incur substantial costs as a result of customers electing alternative providers, reasonable exit fees or surcharges could be imposed so long as they were directly related to the impact of each customers’ own usage on the system and on the costs of DWR.</w:t>
      </w:r>
    </w:p>
    <w:p>
      <w:pPr>
        <w:pStyle w:val="BodyText"/>
        <w:rPr/>
      </w:pPr>
      <w:r>
        <w:rPr/>
      </w:r>
    </w:p>
    <w:p>
      <w:pPr>
        <w:pStyle w:val="BodyText"/>
        <w:numPr>
          <w:ilvl w:val="0"/>
          <w:numId w:val="4"/>
        </w:numPr>
        <w:rPr/>
      </w:pPr>
      <w:r>
        <w:rPr/>
        <w:t>Direct access customers should not be subjected to paying fees for costs they did not participate in causing, such as the emergency interim surcharge imposed by the CPUC.  This charge assists in compensating the utilities for power purchased for bundled customers.  Direct access customers must also pay this surcharge, while they received no power from the utilities and paid their own providers for the full cost of the power they consumed, thus paying twice for power.  This should not be repeated in any fees or conditions imposed by the CPUC on customers electing direct access.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BodyTextIndent">
    <w:name w:val="Body Text Indent"/>
    <w:basedOn w:val="Normal"/>
    <w:pPr>
      <w:ind w:hanging="270" w:start="99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2001-01-30T16:22:00Z</dcterms:created>
  <dc:creator>USER</dc:creator>
  <dc:description/>
  <dc:language>en-CA</dc:language>
  <cp:lastModifiedBy>USER</cp:lastModifiedBy>
  <dcterms:modified xsi:type="dcterms:W3CDTF">2001-01-30T16:57:00Z</dcterms:modified>
  <cp:revision>4</cp:revision>
  <dc:subject/>
  <dc:title/>
</cp:coreProperties>
</file>