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spacing w:lineRule="atLeast" w:line="240"/>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t>October , 2001</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bookmarkStart w:id="0" w:name="today"/>
      <w:r>
        <w:rPr>
          <w:rFonts w:cs="Times" w:ascii="Times" w:hAnsi="Times"/>
          <w:sz w:val="23"/>
        </w:rPr>
        <w:fldChar w:fldCharType="begin"/>
      </w:r>
      <w:r>
        <w:rPr>
          <w:sz w:val="23"/>
          <w:rFonts w:cs="Times" w:ascii="Times" w:hAnsi="Times"/>
        </w:rPr>
        <w:instrText xml:space="preserve"> SET today_x0013_TIME "MMMM d, yyyy" </w:instrText>
      </w:r>
      <w:r>
        <w:rPr>
          <w:sz w:val="23"/>
          <w:rFonts w:cs="Times" w:ascii="Times" w:hAnsi="Times"/>
        </w:rPr>
        <w:fldChar w:fldCharType="separate"/>
      </w:r>
      <w:bookmarkStart w:id="1" w:name="today%13TIME"/>
      <w:r>
        <w:rPr>
          <w:sz w:val="23"/>
          <w:rFonts w:cs="Times" w:ascii="Times" w:hAnsi="Times"/>
        </w:rPr>
      </w:r>
      <w:bookmarkEnd w:id="1"/>
      <w:r>
        <w:rPr>
          <w:sz w:val="23"/>
          <w:rFonts w:cs="Times" w:ascii="Times" w:hAnsi="Times"/>
        </w:rPr>
        <w:fldChar w:fldCharType="end"/>
      </w:r>
      <w:bookmarkEnd w:id="0"/>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Citizens Utilities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c/o Citizens Communication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 xml:space="preserve">     </w:t>
      </w:r>
      <w:r>
        <w:rPr>
          <w:sz w:val="23"/>
        </w:rPr>
        <w:t>Arizona Gas Division</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1300 South Yale Street</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Flagstaff, Arizona 86001</w:t>
      </w:r>
      <w:bookmarkStart w:id="2" w:name="WWSetBkmk2"/>
      <w:r>
        <w:rPr>
          <w:sz w:val="23"/>
        </w:rPr>
        <w:fldChar w:fldCharType="begin"/>
      </w:r>
      <w:r>
        <w:rPr>
          <w:sz w:val="23"/>
        </w:rPr>
        <w:instrText xml:space="preserve"> SET customer_x0013_fillin "_____________" </w:instrText>
      </w:r>
      <w:r>
        <w:rPr>
          <w:sz w:val="23"/>
        </w:rPr>
        <w:fldChar w:fldCharType="separate"/>
      </w:r>
      <w:bookmarkStart w:id="3" w:name="customer%13fillin"/>
      <w:r>
        <w:rPr>
          <w:sz w:val="23"/>
        </w:rPr>
      </w:r>
      <w:bookmarkEnd w:id="3"/>
      <w:r>
        <w:rPr>
          <w:sz w:val="23"/>
        </w:rPr>
        <w:fldChar w:fldCharType="end"/>
      </w:r>
      <w:bookmarkEnd w:id="2"/>
    </w:p>
    <w:p>
      <w:pPr>
        <w:pStyle w:val="Normal"/>
        <w:jc w:val="both"/>
        <w:rPr>
          <w:sz w:val="23"/>
        </w:rPr>
      </w:pPr>
      <w:r>
        <w:rPr>
          <w:sz w:val="23"/>
        </w:rPr>
        <w:t>Attn: Mr. Sean Breen</w:t>
      </w:r>
    </w:p>
    <w:p>
      <w:pPr>
        <w:pStyle w:val="Normal"/>
        <w:jc w:val="both"/>
        <w:rPr>
          <w:sz w:val="23"/>
        </w:rPr>
      </w:pPr>
      <w:r>
        <w:rPr>
          <w:sz w:val="23"/>
        </w:rPr>
        <w:t>Telephone (520) 226-2216</w:t>
      </w:r>
    </w:p>
    <w:p>
      <w:pPr>
        <w:pStyle w:val="Normal"/>
        <w:jc w:val="both"/>
        <w:rPr>
          <w:sz w:val="23"/>
        </w:rPr>
      </w:pPr>
      <w:r>
        <w:rPr>
          <w:sz w:val="23"/>
        </w:rPr>
        <w:t>Facsimile (520) 779-5338</w:t>
      </w:r>
    </w:p>
    <w:p>
      <w:pPr>
        <w:pStyle w:val="Normal"/>
        <w:jc w:val="both"/>
        <w:rPr>
          <w:sz w:val="23"/>
        </w:rPr>
      </w:pPr>
      <w:r>
        <w:rPr>
          <w:sz w:val="23"/>
        </w:rPr>
        <w:t>e-mail: sbreen@czn.com</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b/>
          <w:sz w:val="23"/>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ind w:end="360"/>
        <w:jc w:val="both"/>
        <w:rPr/>
      </w:pPr>
      <w:r>
        <w:rPr>
          <w:rFonts w:cs="Times" w:ascii="Times" w:hAnsi="Times"/>
          <w:sz w:val="23"/>
        </w:rPr>
        <w:tab/>
        <w:t>This Transaction Agreement (this "</w:t>
      </w:r>
      <w:r>
        <w:rPr>
          <w:rFonts w:cs="Times" w:ascii="Times" w:hAnsi="Times"/>
          <w:sz w:val="23"/>
          <w:u w:val="single"/>
        </w:rPr>
        <w:t>Agreement</w:t>
      </w:r>
      <w:r>
        <w:rPr>
          <w:rFonts w:cs="Times" w:ascii="Times" w:hAnsi="Times"/>
          <w:sz w:val="23"/>
        </w:rPr>
        <w:t xml:space="preserve">") shall amend the Transaction Agreement Dated October 16, 2001 between </w:t>
      </w:r>
      <w:r>
        <w:rPr>
          <w:sz w:val="23"/>
        </w:rPr>
        <w:t xml:space="preserve">Citizens Utilities Company </w:t>
      </w:r>
      <w:bookmarkStart w:id="4" w:name="WWSetBkmk3"/>
      <w:r>
        <w:rPr>
          <w:sz w:val="23"/>
        </w:rPr>
        <w:fldChar w:fldCharType="begin"/>
      </w:r>
      <w:r>
        <w:rPr>
          <w:sz w:val="23"/>
        </w:rPr>
        <w:instrText xml:space="preserve"> SET customer_x0013_fillin "_____________" </w:instrText>
      </w:r>
      <w:r>
        <w:rPr>
          <w:sz w:val="23"/>
        </w:rPr>
        <w:fldChar w:fldCharType="separate"/>
      </w:r>
      <w:bookmarkStart w:id="5" w:name="customer%13fillin"/>
      <w:r>
        <w:rPr>
          <w:sz w:val="23"/>
        </w:rPr>
      </w:r>
      <w:bookmarkEnd w:id="5"/>
      <w:r>
        <w:rPr>
          <w:sz w:val="23"/>
        </w:rPr>
        <w:fldChar w:fldCharType="end"/>
      </w:r>
      <w:bookmarkEnd w:id="4"/>
      <w:r>
        <w:rPr>
          <w:rFonts w:cs="Times" w:ascii="Times" w:hAnsi="Times"/>
          <w:sz w:val="23"/>
        </w:rPr>
        <w:t>("</w:t>
      </w:r>
      <w:r>
        <w:rPr>
          <w:rFonts w:cs="Times" w:ascii="Times" w:hAnsi="Times"/>
          <w:sz w:val="23"/>
          <w:u w:val="single"/>
        </w:rPr>
        <w:t>Customer</w:t>
      </w:r>
      <w:r>
        <w:rPr>
          <w:rFonts w:cs="Times" w:ascii="Times" w:hAnsi="Times"/>
          <w:sz w:val="23"/>
        </w:rPr>
        <w:t>") and Enron North America Corp. ("</w:t>
      </w:r>
      <w:r>
        <w:rPr>
          <w:rFonts w:cs="Times" w:ascii="Times" w:hAnsi="Times"/>
          <w:sz w:val="23"/>
          <w:u w:val="single"/>
        </w:rPr>
        <w:t>Company</w:t>
      </w:r>
      <w:r>
        <w:rPr>
          <w:rFonts w:cs="Times" w:ascii="Times" w:hAnsi="Times"/>
          <w:sz w:val="23"/>
        </w:rPr>
        <w:t xml:space="preserve">") regarding the firm purchase and sale of Gas under the following terms and conditions.  Customer to purchase and receive (Buyer) and </w:t>
      </w:r>
      <w:bookmarkStart w:id="6" w:name="WWSetBkmk3_Copy_1"/>
      <w:r>
        <w:rPr>
          <w:sz w:val="23"/>
        </w:rPr>
        <w:fldChar w:fldCharType="begin"/>
      </w:r>
      <w:r>
        <w:rPr>
          <w:sz w:val="23"/>
        </w:rPr>
        <w:instrText xml:space="preserve"> SET customer_x0013_fillin "_____________" </w:instrText>
      </w:r>
      <w:r>
        <w:rPr>
          <w:sz w:val="23"/>
        </w:rPr>
        <w:fldChar w:fldCharType="separate"/>
      </w:r>
      <w:bookmarkStart w:id="7" w:name="customer%13fillin"/>
      <w:r>
        <w:rPr>
          <w:sz w:val="23"/>
        </w:rPr>
      </w:r>
      <w:bookmarkEnd w:id="7"/>
      <w:r>
        <w:rPr>
          <w:sz w:val="23"/>
        </w:rPr>
        <w:fldChar w:fldCharType="end"/>
      </w:r>
      <w:bookmarkEnd w:id="6"/>
      <w:r>
        <w:rPr>
          <w:sz w:val="23"/>
        </w:rPr>
        <w:t>Company</w:t>
      </w:r>
      <w:r>
        <w:rPr>
          <w:rFonts w:cs="Times" w:ascii="Times" w:hAnsi="Times"/>
          <w:sz w:val="23"/>
        </w:rPr>
        <w:t xml:space="preserve"> to sell and deliver (Seller).</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numPr>
          <w:ilvl w:val="0"/>
          <w:numId w:val="3"/>
        </w:numPr>
        <w:ind w:hanging="495" w:start="555" w:end="346"/>
        <w:jc w:val="both"/>
        <w:rPr>
          <w:sz w:val="23"/>
        </w:rPr>
      </w:pPr>
      <w:r>
        <w:rPr>
          <w:sz w:val="23"/>
        </w:rPr>
        <w:t xml:space="preserve">In addition to the price provided in (2) above, Buyer shall pay Seller an amount per MMBtu equal to eight and one half percent (8.5%) of the Spread Value, </w:t>
      </w:r>
      <w:r>
        <w:rPr>
          <w:b/>
          <w:bCs/>
          <w:sz w:val="23"/>
        </w:rPr>
        <w:t>if positive</w:t>
      </w:r>
      <w:r>
        <w:rPr>
          <w:sz w:val="23"/>
        </w:rPr>
        <w:t xml:space="preserve">, where Spread Value shall be the sum of A + B where </w:t>
      </w:r>
    </w:p>
    <w:p>
      <w:pPr>
        <w:pStyle w:val="Normal"/>
        <w:ind w:start="60" w:end="346"/>
        <w:jc w:val="both"/>
        <w:rPr>
          <w:sz w:val="23"/>
        </w:rPr>
      </w:pPr>
      <w:r>
        <w:rPr>
          <w:sz w:val="23"/>
        </w:rPr>
      </w:r>
    </w:p>
    <w:p>
      <w:pPr>
        <w:pStyle w:val="Normal"/>
        <w:ind w:start="555" w:end="346"/>
        <w:jc w:val="both"/>
        <w:rPr>
          <w:sz w:val="23"/>
        </w:rPr>
      </w:pPr>
      <w:r>
        <w:rPr>
          <w:sz w:val="23"/>
        </w:rPr>
        <w:t xml:space="preserve">A equals the </w:t>
      </w:r>
    </w:p>
    <w:p>
      <w:pPr>
        <w:pStyle w:val="Normal"/>
        <w:ind w:start="555" w:end="346"/>
        <w:jc w:val="both"/>
        <w:rPr>
          <w:sz w:val="23"/>
        </w:rPr>
      </w:pPr>
      <w:r>
        <w:rPr>
          <w:sz w:val="23"/>
        </w:rPr>
      </w:r>
    </w:p>
    <w:p>
      <w:pPr>
        <w:pStyle w:val="Normal"/>
        <w:ind w:start="555" w:end="346"/>
        <w:jc w:val="both"/>
        <w:rPr>
          <w:sz w:val="23"/>
        </w:rPr>
      </w:pPr>
      <w:r>
        <w:rPr>
          <w:sz w:val="23"/>
        </w:rPr>
        <w:t xml:space="preserve">A = the Demand Margin and </w:t>
      </w:r>
    </w:p>
    <w:p>
      <w:pPr>
        <w:pStyle w:val="Normal"/>
        <w:ind w:start="555" w:end="346"/>
        <w:jc w:val="both"/>
        <w:rPr>
          <w:sz w:val="23"/>
        </w:rPr>
      </w:pPr>
      <w:r>
        <w:rPr>
          <w:sz w:val="23"/>
        </w:rPr>
        <w:t>B = the Sales Margin</w:t>
      </w:r>
    </w:p>
    <w:p>
      <w:pPr>
        <w:pStyle w:val="Normal"/>
        <w:tabs>
          <w:tab w:val="clear" w:pos="720"/>
          <w:tab w:val="left" w:pos="2160" w:leader="none"/>
          <w:tab w:val="left" w:pos="5220" w:leader="none"/>
        </w:tabs>
        <w:spacing w:lineRule="atLeast" w:line="240"/>
        <w:ind w:hanging="3960" w:start="3960" w:end="360"/>
        <w:jc w:val="both"/>
        <w:rPr>
          <w:sz w:val="23"/>
        </w:rPr>
      </w:pPr>
      <w:r>
        <w:rPr>
          <w:sz w:val="23"/>
        </w:rPr>
        <w:t xml:space="preserve">.  </w:t>
      </w:r>
    </w:p>
    <w:p>
      <w:pPr>
        <w:pStyle w:val="Normal"/>
        <w:tabs>
          <w:tab w:val="clear" w:pos="720"/>
          <w:tab w:val="left" w:pos="2160" w:leader="none"/>
          <w:tab w:val="left" w:pos="5220" w:leader="none"/>
        </w:tabs>
        <w:spacing w:lineRule="atLeast" w:line="240"/>
        <w:ind w:hanging="3960" w:start="3960" w:end="360"/>
        <w:jc w:val="both"/>
        <w:rPr>
          <w:sz w:val="23"/>
        </w:rPr>
      </w:pPr>
      <w:r>
        <w:rPr>
          <w:sz w:val="23"/>
        </w:rPr>
        <w:t>and,</w:t>
      </w:r>
    </w:p>
    <w:p>
      <w:pPr>
        <w:pStyle w:val="Normal"/>
        <w:tabs>
          <w:tab w:val="clear" w:pos="720"/>
          <w:tab w:val="left" w:pos="2160" w:leader="none"/>
          <w:tab w:val="left" w:pos="5220" w:leader="none"/>
        </w:tabs>
        <w:spacing w:lineRule="atLeast" w:line="240"/>
        <w:ind w:hanging="3960" w:start="3960" w:end="360"/>
        <w:jc w:val="both"/>
        <w:rPr>
          <w:sz w:val="23"/>
        </w:rPr>
      </w:pPr>
      <w:r>
        <w:rPr>
          <w:sz w:val="23"/>
        </w:rPr>
      </w:r>
    </w:p>
    <w:p>
      <w:pPr>
        <w:pStyle w:val="Normal"/>
        <w:tabs>
          <w:tab w:val="clear" w:pos="720"/>
          <w:tab w:val="left" w:pos="2160" w:leader="none"/>
          <w:tab w:val="left" w:pos="5220" w:leader="none"/>
        </w:tabs>
        <w:spacing w:lineRule="atLeast" w:line="240"/>
        <w:ind w:hanging="2160" w:start="2160" w:end="360"/>
        <w:jc w:val="both"/>
        <w:rPr>
          <w:sz w:val="23"/>
        </w:rPr>
      </w:pPr>
      <w:r>
        <w:rPr>
          <w:sz w:val="23"/>
        </w:rPr>
        <w:t xml:space="preserve">Demand Margin = </w:t>
        <w:tab/>
        <w:t xml:space="preserve">the Transwestern Demand Charge of $.2078 less the ENA Basin demand charge of $.09/MMBtu times the demand charge quantity </w:t>
      </w:r>
    </w:p>
    <w:p>
      <w:pPr>
        <w:pStyle w:val="Normal"/>
        <w:tabs>
          <w:tab w:val="clear" w:pos="720"/>
          <w:tab w:val="left" w:pos="2160" w:leader="none"/>
          <w:tab w:val="left" w:pos="5220" w:leader="none"/>
        </w:tabs>
        <w:spacing w:lineRule="atLeast" w:line="240"/>
        <w:ind w:hanging="2160" w:start="2160" w:end="360"/>
        <w:jc w:val="both"/>
        <w:rPr>
          <w:sz w:val="23"/>
        </w:rPr>
      </w:pPr>
      <w:r>
        <w:rPr>
          <w:sz w:val="23"/>
        </w:rPr>
      </w:r>
    </w:p>
    <w:p>
      <w:pPr>
        <w:pStyle w:val="Normal"/>
        <w:tabs>
          <w:tab w:val="clear" w:pos="720"/>
          <w:tab w:val="left" w:pos="2160" w:leader="none"/>
          <w:tab w:val="left" w:pos="5220" w:leader="none"/>
        </w:tabs>
        <w:spacing w:lineRule="atLeast" w:line="240"/>
        <w:ind w:hanging="2160" w:start="2160" w:end="360"/>
        <w:jc w:val="both"/>
        <w:rPr>
          <w:sz w:val="23"/>
        </w:rPr>
      </w:pPr>
      <w:r>
        <w:rPr>
          <w:sz w:val="23"/>
        </w:rPr>
        <w:t xml:space="preserve">Sales Margin = </w:t>
        <w:tab/>
        <w:t>the greater of a or b where</w:t>
      </w:r>
    </w:p>
    <w:p>
      <w:pPr>
        <w:pStyle w:val="Normal"/>
        <w:tabs>
          <w:tab w:val="clear" w:pos="720"/>
          <w:tab w:val="left" w:pos="2160" w:leader="none"/>
          <w:tab w:val="left" w:pos="5220" w:leader="none"/>
        </w:tabs>
        <w:spacing w:lineRule="atLeast" w:line="240"/>
        <w:ind w:hanging="2160" w:start="2160" w:end="360"/>
        <w:jc w:val="both"/>
        <w:rPr>
          <w:sz w:val="23"/>
        </w:rPr>
      </w:pPr>
      <w:r>
        <w:rPr>
          <w:sz w:val="23"/>
        </w:rPr>
      </w:r>
    </w:p>
    <w:p>
      <w:pPr>
        <w:pStyle w:val="Normal"/>
        <w:tabs>
          <w:tab w:val="clear" w:pos="720"/>
          <w:tab w:val="left" w:pos="2160" w:leader="none"/>
          <w:tab w:val="left" w:pos="5220" w:leader="none"/>
        </w:tabs>
        <w:spacing w:lineRule="atLeast" w:line="240"/>
        <w:ind w:hanging="2160" w:start="2160" w:end="360"/>
        <w:jc w:val="both"/>
        <w:rPr>
          <w:sz w:val="23"/>
        </w:rPr>
      </w:pPr>
      <w:r>
        <w:rPr>
          <w:sz w:val="23"/>
        </w:rPr>
        <w:tab/>
        <w:t>a = the opposite of the sum of the San Juan Lateral commodity  charges and Mainline commodity charges</w:t>
      </w:r>
    </w:p>
    <w:p>
      <w:pPr>
        <w:pStyle w:val="Normal"/>
        <w:tabs>
          <w:tab w:val="clear" w:pos="720"/>
          <w:tab w:val="left" w:pos="2160" w:leader="none"/>
          <w:tab w:val="left" w:pos="5220" w:leader="none"/>
        </w:tabs>
        <w:spacing w:lineRule="atLeast" w:line="240"/>
        <w:ind w:hanging="2160" w:start="2160" w:end="360"/>
        <w:jc w:val="both"/>
        <w:rPr>
          <w:sz w:val="23"/>
        </w:rPr>
      </w:pPr>
      <w:r>
        <w:rPr>
          <w:sz w:val="23"/>
        </w:rPr>
      </w:r>
    </w:p>
    <w:p>
      <w:pPr>
        <w:pStyle w:val="Normal"/>
        <w:tabs>
          <w:tab w:val="clear" w:pos="720"/>
          <w:tab w:val="left" w:pos="2160" w:leader="none"/>
          <w:tab w:val="left" w:pos="5220" w:leader="none"/>
        </w:tabs>
        <w:spacing w:lineRule="atLeast" w:line="240"/>
        <w:ind w:hanging="2160" w:start="2160" w:end="360"/>
        <w:jc w:val="both"/>
        <w:rPr>
          <w:sz w:val="23"/>
        </w:rPr>
      </w:pPr>
      <w:r>
        <w:rPr>
          <w:sz w:val="23"/>
        </w:rPr>
        <w:tab/>
        <w:t xml:space="preserve">and, </w:t>
      </w:r>
    </w:p>
    <w:p>
      <w:pPr>
        <w:pStyle w:val="Normal"/>
        <w:tabs>
          <w:tab w:val="clear" w:pos="720"/>
          <w:tab w:val="left" w:pos="2160" w:leader="none"/>
          <w:tab w:val="left" w:pos="5220" w:leader="none"/>
        </w:tabs>
        <w:spacing w:lineRule="atLeast" w:line="240"/>
        <w:ind w:hanging="2160" w:start="2160" w:end="360"/>
        <w:jc w:val="both"/>
        <w:rPr>
          <w:sz w:val="23"/>
        </w:rPr>
      </w:pPr>
      <w:r>
        <w:rPr>
          <w:sz w:val="23"/>
        </w:rPr>
      </w:r>
    </w:p>
    <w:p>
      <w:pPr>
        <w:pStyle w:val="Normal"/>
        <w:tabs>
          <w:tab w:val="clear" w:pos="720"/>
          <w:tab w:val="left" w:pos="2160" w:leader="none"/>
          <w:tab w:val="left" w:pos="5220" w:leader="none"/>
        </w:tabs>
        <w:spacing w:lineRule="atLeast" w:line="240"/>
        <w:ind w:hanging="2160" w:start="2160" w:end="360"/>
        <w:jc w:val="both"/>
        <w:rPr>
          <w:sz w:val="23"/>
        </w:rPr>
      </w:pPr>
      <w:r>
        <w:rPr>
          <w:sz w:val="23"/>
        </w:rPr>
        <w:tab/>
        <w:t>b = c less d where c = PG&amp;E Topock less $.10 less the sum of Mainline and San Juan Lateral demand charges and d equals the sum of  San Juan Index plus San Juan Lateral Fuel plus Mainline Fuel plus a above.</w:t>
      </w:r>
    </w:p>
    <w:p>
      <w:pPr>
        <w:pStyle w:val="Normal"/>
        <w:tabs>
          <w:tab w:val="left" w:pos="720" w:leader="none"/>
        </w:tabs>
        <w:ind w:start="360" w:end="0"/>
        <w:rPr>
          <w:sz w:val="23"/>
        </w:rPr>
      </w:pPr>
      <w:r>
        <w:rPr>
          <w:sz w:val="23"/>
        </w:rPr>
      </w:r>
    </w:p>
    <w:p>
      <w:pPr>
        <w:pStyle w:val="Heading3"/>
        <w:rPr/>
      </w:pPr>
      <w:r>
        <w:rPr/>
        <w:t>Firm Peaking Gas Requirements</w:t>
      </w:r>
    </w:p>
    <w:p>
      <w:pPr>
        <w:pStyle w:val="Normal"/>
        <w:rPr>
          <w:sz w:val="22"/>
        </w:rPr>
      </w:pPr>
      <w:r>
        <w:rPr>
          <w:sz w:val="22"/>
        </w:rPr>
      </w:r>
    </w:p>
    <w:p>
      <w:pPr>
        <w:pStyle w:val="Normal"/>
        <w:ind w:start="360" w:end="0"/>
        <w:rPr/>
      </w:pPr>
      <w:r>
        <w:rPr>
          <w:sz w:val="22"/>
        </w:rPr>
        <w:t>In the event that Citizens expects its gas usage to exceed the total amount of capacity Citizens has</w:t>
      </w:r>
      <w:r>
        <w:rPr/>
        <w:t xml:space="preserve"> </w:t>
      </w:r>
      <w:r>
        <w:rPr>
          <w:sz w:val="22"/>
        </w:rPr>
        <w:t xml:space="preserve">reserved for its utility customers (i.e. 25,000 MMBtu less the quantities indicated in the Quantity section above), Citizens can request EPMI to deliver Firm Peaking Gas to the Citizens’ city gate.  EPMI shall deliver up to 7,500 MMBtu on a Firm basis.   EPMI shall investigate various options to deliver Firm Peaking Gas to Citizens including, backhauling gas from the SoCal Border, utilizing released interstate capacity, purchasing gas from Griffith, etc.  Citizens and EPMI also can agree that such Firm Peaking Gas can be provided from other sources such as utilizing Transwestern Pipeline imbalance gas within allowable tolerance limits, using interruptible transportation on Transwestern or other means that might be available.  The Price for Gas delivered from other sources shall be ENA’s  Cost of such supply, plus $.05/MMBtu.  There shall be no cost for imbalance gas as such is not actually delivered.  </w:t>
      </w:r>
    </w:p>
    <w:p>
      <w:pPr>
        <w:pStyle w:val="Normal"/>
        <w:tabs>
          <w:tab w:val="clear" w:pos="720"/>
          <w:tab w:val="left" w:pos="2160" w:leader="none"/>
          <w:tab w:val="left" w:pos="5220" w:leader="none"/>
        </w:tabs>
        <w:spacing w:lineRule="atLeast" w:line="240"/>
        <w:ind w:hanging="3960" w:start="3960" w:end="360"/>
        <w:jc w:val="both"/>
        <w:rPr>
          <w:rFonts w:ascii="Times" w:hAnsi="Times" w:cs="Times"/>
          <w:sz w:val="22"/>
        </w:rPr>
      </w:pPr>
      <w:r>
        <w:rPr>
          <w:rFonts w:cs="Times" w:ascii="Times" w:hAnsi="Times"/>
          <w:sz w:val="22"/>
        </w:rPr>
      </w:r>
    </w:p>
    <w:p>
      <w:pPr>
        <w:pStyle w:val="Normal"/>
        <w:spacing w:lineRule="atLeast" w:line="240"/>
        <w:ind w:start="3960" w:end="360"/>
        <w:jc w:val="both"/>
        <w:rPr>
          <w:rFonts w:ascii="Times" w:hAnsi="Times" w:cs="Times"/>
          <w:sz w:val="23"/>
        </w:rPr>
      </w:pPr>
      <w:r>
        <w:rPr>
          <w:rFonts w:cs="Times" w:ascii="Times" w:hAnsi="Times"/>
          <w:sz w:val="23"/>
        </w:rPr>
      </w:r>
    </w:p>
    <w:p>
      <w:pPr>
        <w:pStyle w:val="Normal"/>
        <w:tabs>
          <w:tab w:val="clear" w:pos="720"/>
          <w:tab w:val="left" w:pos="3960" w:leader="none"/>
          <w:tab w:val="left" w:pos="5280" w:leader="none"/>
          <w:tab w:val="left" w:pos="9180" w:leader="none"/>
        </w:tabs>
        <w:spacing w:lineRule="atLeast" w:line="240"/>
        <w:ind w:end="360"/>
        <w:jc w:val="both"/>
        <w:rPr/>
      </w:pPr>
      <w:r>
        <w:rPr>
          <w:rFonts w:cs="Times" w:ascii="Times" w:hAnsi="Times"/>
          <w:sz w:val="23"/>
        </w:rPr>
        <w:t xml:space="preserve">This Transaction Agreement is being provided pursuant to and in accordance with the ENFOLIO Master Firm Purchase/Sale Agreement dated November 1, 1994, between Customer and Company (formerly known as Enron Capital &amp; Trade Resources Corp.), and constitutes part of and is subject to all of the terms and provisions of such Agreement.  Please execute this Transaction Agreement and return an  executed copy to Company.  Your execution should reflect the appropriate party in your organization who has the authority to enter into this Transaction.  Upon receipt by Company of this executed Transaction Agreement it shall constitute a Transaction formed and effectuated under </w:t>
      </w:r>
      <w:r>
        <w:rPr>
          <w:rFonts w:cs="Times" w:ascii="Times" w:hAnsi="Times"/>
          <w:sz w:val="23"/>
          <w:u w:val="single"/>
        </w:rPr>
        <w:t>Section 2.2(i)</w:t>
      </w:r>
      <w:r>
        <w:rPr>
          <w:rFonts w:cs="Times" w:ascii="Times" w:hAnsi="Times"/>
          <w:sz w:val="23"/>
        </w:rPr>
        <w:t xml:space="preserve"> of the above referenced Master Agreement.  In the event Customer alters the terms of this Transaction Agreement in any manner or fails to execute and return to Company this Transaction Agreement within 24 hours of its receipt thereof, there will be no Transaction under the above referenced Master Agreement pursuant to this Transaction Agreement.  </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r>
    </w:p>
    <w:tbl>
      <w:tblPr>
        <w:tblW w:w="8838" w:type="dxa"/>
        <w:jc w:val="start"/>
        <w:tblInd w:w="0" w:type="dxa"/>
        <w:tblLayout w:type="fixed"/>
        <w:tblCellMar>
          <w:top w:w="0" w:type="dxa"/>
          <w:start w:w="108" w:type="dxa"/>
          <w:bottom w:w="0" w:type="dxa"/>
          <w:end w:w="108" w:type="dxa"/>
        </w:tblCellMar>
      </w:tblPr>
      <w:tblGrid>
        <w:gridCol w:w="4338"/>
        <w:gridCol w:w="4500"/>
      </w:tblGrid>
      <w:tr>
        <w:trPr/>
        <w:tc>
          <w:tcPr>
            <w:tcW w:w="4338"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CITIZENS UTILITIES COMPANY</w:t>
            </w:r>
          </w:p>
        </w:tc>
        <w:tc>
          <w:tcPr>
            <w:tcW w:w="4500"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ENRON NORTH AMERICA CORP.</w:t>
            </w:r>
          </w:p>
        </w:tc>
      </w:tr>
      <w:tr>
        <w:trPr/>
        <w:tc>
          <w:tcPr>
            <w:tcW w:w="4338"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c>
          <w:tcPr>
            <w:tcW w:w="4500"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r>
    </w:tbl>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tabs>
          <w:tab w:val="clear" w:pos="720"/>
          <w:tab w:val="left" w:pos="2160" w:leader="none"/>
          <w:tab w:val="left" w:pos="5220" w:leader="none"/>
        </w:tabs>
        <w:spacing w:lineRule="atLeast" w:line="240"/>
        <w:ind w:hanging="3960" w:start="3960" w:end="360"/>
        <w:jc w:val="both"/>
        <w:rPr>
          <w:rFonts w:ascii="Times" w:hAnsi="Times" w:eastAsia="Times" w:cs="Times"/>
          <w:sz w:val="23"/>
        </w:rPr>
      </w:pPr>
      <w:r>
        <w:rPr>
          <w:rFonts w:eastAsia="Times" w:cs="Times" w:ascii="Times" w:hAnsi="Times"/>
          <w:sz w:val="23"/>
        </w:rPr>
        <w:t xml:space="preserve"> </w:t>
      </w:r>
    </w:p>
    <w:p>
      <w:pPr>
        <w:pStyle w:val="Normal"/>
        <w:tabs>
          <w:tab w:val="clear" w:pos="720"/>
          <w:tab w:val="left" w:pos="2160" w:leader="none"/>
          <w:tab w:val="left" w:pos="5220" w:leader="none"/>
        </w:tabs>
        <w:spacing w:lineRule="atLeast" w:line="240"/>
        <w:ind w:hanging="3960" w:start="3960" w:end="360"/>
        <w:jc w:val="both"/>
        <w:rPr>
          <w:rFonts w:ascii="Times" w:hAnsi="Times" w:cs="Times"/>
          <w:b/>
          <w:sz w:val="23"/>
        </w:rPr>
      </w:pPr>
      <w:r>
        <w:rPr>
          <w:rFonts w:cs="Times" w:ascii="Times" w:hAnsi="Times"/>
          <w:sz w:val="23"/>
        </w:rPr>
        <w:tab/>
        <w:tab/>
      </w:r>
    </w:p>
    <w:p>
      <w:pPr>
        <w:pStyle w:val="Normal"/>
        <w:spacing w:lineRule="atLeast" w:line="240"/>
        <w:ind w:hanging="3960" w:start="3960" w:end="360"/>
        <w:jc w:val="both"/>
        <w:rPr>
          <w:u w:val="single"/>
        </w:rPr>
      </w:pPr>
      <w:r>
        <w:rPr/>
        <w:tab/>
      </w:r>
    </w:p>
    <w:p>
      <w:pPr>
        <w:pStyle w:val="Normal"/>
        <w:rPr>
          <w:u w:val="single"/>
        </w:rPr>
      </w:pPr>
      <w:r>
        <w:rPr>
          <w:u w:val="single"/>
        </w:rPr>
      </w:r>
    </w:p>
    <w:sectPr>
      <w:headerReference w:type="default" r:id="rId2"/>
      <w:headerReference w:type="first" r:id="rId3"/>
      <w:footerReference w:type="default" r:id="rId4"/>
      <w:footerReference w:type="first" r:id="rId5"/>
      <w:type w:val="nextPage"/>
      <w:pgSz w:w="12240" w:h="15840"/>
      <w:pgMar w:left="1627" w:right="1627" w:gutter="0" w:header="720" w:top="1627"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p>
  <w:p>
    <w:pPr>
      <w:pStyle w:val="Normal"/>
      <w:tabs>
        <w:tab w:val="clear" w:pos="720"/>
        <w:tab w:val="left" w:pos="4320" w:leader="none"/>
        <w:tab w:val="left" w:pos="8280" w:leader="none"/>
      </w:tabs>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/mnt/main-storage/datasets/enron-docs/doc/amendment.doc</w:t>
    </w:r>
    <w:r>
      <w:rPr>
        <w:sz w:val="15"/>
        <w:rFonts w:cs="Times" w:ascii="Times" w:hAnsi="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5"/>
      </w:rPr>
    </w:pPr>
    <w:r>
      <w:rPr>
        <w:rFonts w:cs="Arial" w:ascii="Arial" w:hAnsi="Arial"/>
        <w:sz w:val="15"/>
      </w:rPr>
    </w:r>
  </w:p>
  <w:p>
    <w:pPr>
      <w:pStyle w:val="Footer"/>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/mnt/main-storage/datasets/enron-docs/doc/amendment.doc</w:t>
    </w:r>
    <w:r>
      <w:rPr>
        <w:sz w:val="15"/>
        <w:rFonts w:cs="Times" w:ascii="Times" w:hAnsi="Times"/>
      </w:rPr>
      <w:fldChar w:fldCharType="end"/>
    </w:r>
  </w:p>
  <w:p>
    <w:pPr>
      <w:pStyle w:val="Footer"/>
      <w:rPr>
        <w:rFonts w:ascii="Arial" w:hAnsi="Arial" w:cs="Arial"/>
        <w:sz w:val="15"/>
      </w:rPr>
    </w:pPr>
    <w:r>
      <w:rPr>
        <w:rFonts w:cs="Arial" w:ascii="Arial" w:hAnsi="Arial"/>
        <w:sz w:val="15"/>
      </w:rPr>
    </w:r>
  </w:p>
  <w:p>
    <w:pPr>
      <w:pStyle w:val="Footer"/>
      <w:rPr>
        <w:rFonts w:ascii="Arial" w:hAnsi="Arial" w:cs="Arial"/>
        <w:sz w:val="15"/>
      </w:rPr>
    </w:pPr>
    <w:r>
      <w:rPr>
        <w:rFonts w:cs="Arial" w:ascii="Arial" w:hAnsi="Arial"/>
        <w:sz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Citizens Utilities Company</w:t>
    </w:r>
  </w:p>
  <w:p>
    <w:pPr>
      <w:pStyle w:val="Header"/>
      <w:rPr>
        <w:sz w:val="23"/>
      </w:rPr>
    </w:pPr>
    <w:r>
      <w:rPr>
        <w:sz w:val="23"/>
      </w:rPr>
      <w:t>May 21, 2001</w:t>
    </w:r>
  </w:p>
  <w:p>
    <w:pPr>
      <w:pStyle w:val="Header"/>
      <w:tabs>
        <w:tab w:val="clear" w:pos="4320"/>
        <w:tab w:val="center" w:pos="3330" w:leader="none"/>
        <w:tab w:val="right" w:pos="8640" w:leader="none"/>
      </w:tabs>
      <w:rPr/>
    </w:pPr>
    <w:r>
      <w:rPr>
        <w:sz w:val="23"/>
      </w:rPr>
      <w:t xml:space="preserve">Page </w:t>
    </w:r>
    <w:r>
      <w:rPr>
        <w:sz w:val="23"/>
      </w:rPr>
      <w:fldChar w:fldCharType="begin"/>
    </w:r>
    <w:r>
      <w:rPr>
        <w:sz w:val="23"/>
      </w:rPr>
      <w:instrText xml:space="preserve"> PAGE </w:instrText>
    </w:r>
    <w:r>
      <w:rPr>
        <w:sz w:val="23"/>
      </w:rPr>
      <w:fldChar w:fldCharType="separate"/>
    </w:r>
    <w:r>
      <w:rPr>
        <w:sz w:val="23"/>
      </w:rPr>
      <w:t>2</w:t>
    </w:r>
    <w:r>
      <w:rPr>
        <w:sz w:val="23"/>
      </w:rPr>
      <w:fldChar w:fldCharType="end"/>
    </w:r>
    <w:r>
      <w:rPr>
        <w:sz w:val="23"/>
      </w:rPr>
      <w:tab/>
    </w:r>
  </w:p>
  <w:p>
    <w:pPr>
      <w:pStyle w:val="Header"/>
      <w:rPr>
        <w:sz w:val="23"/>
      </w:rPr>
    </w:pPr>
    <w:r>
      <w:rPr>
        <w:sz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080"/>
        </w:tabs>
        <w:ind w:start="1080" w:hanging="720"/>
      </w:pPr>
      <w:rPr/>
    </w:lvl>
  </w:abstractNum>
  <w:abstractNum w:abstractNumId="3">
    <w:lvl w:ilvl="0">
      <w:start w:val="5"/>
      <w:numFmt w:val="decimal"/>
      <w:lvlText w:val="(%1)"/>
      <w:lvlJc w:val="start"/>
      <w:pPr>
        <w:tabs>
          <w:tab w:val="num" w:pos="555"/>
        </w:tabs>
        <w:ind w:start="555" w:hanging="49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 w:leader="none"/>
        <w:tab w:val="left" w:pos="1440" w:leader="none"/>
        <w:tab w:val="left" w:pos="2160" w:leader="none"/>
      </w:tabs>
      <w:spacing w:lineRule="atLeast" w:line="240"/>
      <w:ind w:hanging="0" w:start="0" w:end="252"/>
      <w:jc w:val="end"/>
      <w:outlineLvl w:val="0"/>
    </w:pPr>
    <w:rPr>
      <w:rFonts w:ascii="Times" w:hAnsi="Times" w:cs="Times"/>
      <w:sz w:val="23"/>
      <w:u w:val="single"/>
    </w:rPr>
  </w:style>
  <w:style w:type="paragraph" w:styleId="Heading2">
    <w:name w:val="heading 2"/>
    <w:basedOn w:val="Normal"/>
    <w:next w:val="Normal"/>
    <w:qFormat/>
    <w:pPr>
      <w:keepNext w:val="true"/>
      <w:numPr>
        <w:ilvl w:val="0"/>
        <w:numId w:val="2"/>
      </w:numPr>
      <w:tabs>
        <w:tab w:val="left" w:pos="720" w:leader="none"/>
      </w:tabs>
      <w:ind w:hanging="360" w:start="720" w:end="0"/>
      <w:outlineLvl w:val="1"/>
    </w:pPr>
    <w:rPr>
      <w:b/>
    </w:rPr>
  </w:style>
  <w:style w:type="paragraph" w:styleId="Heading3">
    <w:name w:val="heading 3"/>
    <w:basedOn w:val="Normal"/>
    <w:next w:val="Normal"/>
    <w:qFormat/>
    <w:pPr>
      <w:keepNext w:val="true"/>
      <w:numPr>
        <w:ilvl w:val="2"/>
        <w:numId w:val="1"/>
      </w:numPr>
      <w:tabs>
        <w:tab w:val="left" w:pos="720" w:leader="none"/>
      </w:tabs>
      <w:ind w:hanging="0" w:start="360" w:end="0"/>
      <w:outlineLvl w:val="2"/>
    </w:pPr>
    <w:rPr>
      <w:b/>
      <w:bCs/>
      <w:sz w:val="22"/>
    </w:rPr>
  </w:style>
  <w:style w:type="character" w:styleId="WW8Num1z0">
    <w:name w:val="WW8Num1z0"/>
    <w:qFormat/>
    <w:rPr/>
  </w:style>
  <w:style w:type="character" w:styleId="WW8Num2z0">
    <w:name w:val="WW8Num2z0"/>
    <w:qFormat/>
    <w:rPr>
      <w:rFonts w:ascii="Times New Roman" w:hAnsi="Times New Roman" w:cs="Times New Roman"/>
      <w:b/>
    </w:rPr>
  </w:style>
  <w:style w:type="character" w:styleId="WW8Num3z0">
    <w:name w:val="WW8Num3z0"/>
    <w:qFormat/>
    <w:rPr>
      <w:b/>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lockText">
    <w:name w:val="Block Text"/>
    <w:basedOn w:val="Normal"/>
    <w:qFormat/>
    <w:pPr>
      <w:tabs>
        <w:tab w:val="clear" w:pos="720"/>
        <w:tab w:val="left" w:pos="690" w:leader="none"/>
        <w:tab w:val="left" w:pos="1440" w:leader="none"/>
        <w:tab w:val="left" w:pos="2160" w:leader="none"/>
      </w:tabs>
      <w:spacing w:lineRule="atLeast" w:line="240"/>
      <w:ind w:hanging="3960" w:start="3960" w:end="360"/>
      <w:jc w:val="both"/>
    </w:pPr>
    <w:rPr>
      <w:rFonts w:ascii="Times" w:hAnsi="Times" w:cs="Times"/>
      <w:sz w:val="23"/>
    </w:rPr>
  </w:style>
  <w:style w:type="paragraph" w:styleId="BodyTextIndent">
    <w:name w:val="Body Text Indent"/>
    <w:basedOn w:val="Normal"/>
    <w:pPr>
      <w:ind w:hanging="360" w:start="1800" w:end="0"/>
    </w:pPr>
    <w:rPr/>
  </w:style>
  <w:style w:type="paragraph" w:styleId="BodyTextIndent2">
    <w:name w:val="Body Text Indent 2"/>
    <w:basedOn w:val="Normal"/>
    <w:qFormat/>
    <w:pPr>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2001-10-16T12:33:00Z</dcterms:created>
  <dc:creator>EW/LN/CB</dc:creator>
  <dc:description/>
  <cp:keywords>Ethan</cp:keywords>
  <dc:language>en-CA</dc:language>
  <cp:lastModifiedBy>cfoster</cp:lastModifiedBy>
  <cp:lastPrinted>2001-06-01T09:09:00Z</cp:lastPrinted>
  <dcterms:modified xsi:type="dcterms:W3CDTF">2001-10-16T19:41:00Z</dcterms:modified>
  <cp:revision>3</cp:revision>
  <dc:subject/>
  <dc:title>Ethan Frome</dc:title>
</cp:coreProperties>
</file>