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BodyTextIndent"/>
        <w:rPr/>
      </w:pPr>
      <w:r>
        <w:rPr/>
        <w:t>Floating Price and Pricing Date(s):</w:t>
        <w:tab/>
        <w:t>For each Calculation Period, the average of all settlement prices (converted by the FX Rate) for each Friday, subject to adjustment in accordance with the Preceding Business Day Convention, from and including the Effective Date through and including the Pricing Date for the applicable Calculation Period, for the March, 2002 NYMEX Henry Hub Natural Gas Futures Contract  as set forth on Exhibit I attached hereto.</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0" w:start="360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2000-12-27T13:48:00Z</dcterms:created>
  <dc:creator>COE NT Workstation</dc:creator>
  <dc:description/>
  <dc:language>en-CA</dc:language>
  <cp:lastModifiedBy>COE NT Workstation</cp:lastModifiedBy>
  <dcterms:modified xsi:type="dcterms:W3CDTF">2000-12-27T13:50:00Z</dcterms:modified>
  <cp:revision>1</cp:revision>
  <dc:subject/>
  <dc:title>Floating Price and Pricing Date(s):</dc:title>
</cp:coreProperties>
</file>