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FIRST AMENDMENT TO ISDA MASTER AGREEMENT</w:t>
      </w:r>
    </w:p>
    <w:p>
      <w:pPr>
        <w:pStyle w:val="Normal"/>
        <w:rPr>
          <w:sz w:val="22"/>
        </w:rPr>
      </w:pPr>
      <w:r>
        <w:rPr>
          <w:sz w:val="22"/>
        </w:rPr>
      </w:r>
    </w:p>
    <w:p>
      <w:pPr>
        <w:pStyle w:val="Normal"/>
        <w:jc w:val="both"/>
        <w:rPr>
          <w:sz w:val="22"/>
        </w:rPr>
      </w:pPr>
      <w:r>
        <w:rPr>
          <w:sz w:val="22"/>
        </w:rPr>
        <w:tab/>
        <w:t>This First Amendment to ISDA Master Agreement dated effective as of the July 1, 2000 (this “Amendment”), is made and entered into by and between Forcenergy Inc. (“Counterparty”) and Enron North America Corp. (“ENA”).</w:t>
      </w:r>
    </w:p>
    <w:p>
      <w:pPr>
        <w:pStyle w:val="Normal"/>
        <w:jc w:val="both"/>
        <w:rPr>
          <w:sz w:val="22"/>
        </w:rPr>
      </w:pPr>
      <w:r>
        <w:rPr>
          <w:sz w:val="22"/>
        </w:rPr>
      </w:r>
    </w:p>
    <w:p>
      <w:pPr>
        <w:pStyle w:val="Normal"/>
        <w:jc w:val="both"/>
        <w:rPr>
          <w:sz w:val="22"/>
        </w:rPr>
      </w:pPr>
      <w:r>
        <w:rPr>
          <w:sz w:val="22"/>
        </w:rPr>
        <w:tab/>
        <w:t>WHEREAS, Counterparty and ENA entered into that certain ISDA Master Agreement dated as of August 31, 1998, as may be amended from time to time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numPr>
          <w:ilvl w:val="0"/>
          <w:numId w:val="2"/>
        </w:numPr>
        <w:ind w:hanging="720" w:start="720" w:end="0"/>
        <w:jc w:val="both"/>
        <w:rPr>
          <w:color w:val="000000"/>
          <w:sz w:val="22"/>
        </w:rPr>
      </w:pPr>
      <w:r>
        <w:rPr>
          <w:sz w:val="22"/>
        </w:rPr>
        <w:t>The definition of “Threshold” contained in Paragraph 13(b)(iv)(B) to the ISDA Credit Support Annex to the Master Agreement (“CSA”) is hereby amended by by deleting the figure for Party B of “$4,000,000” therefrom and substituting therefor the figure for Party B of “$7,500,000”.</w:t>
      </w:r>
    </w:p>
    <w:p>
      <w:pPr>
        <w:pStyle w:val="Normal"/>
        <w:ind w:hanging="720" w:end="0"/>
        <w:jc w:val="both"/>
        <w:rPr>
          <w:color w:val="000000"/>
          <w:sz w:val="22"/>
        </w:rPr>
      </w:pPr>
      <w:r>
        <w:rPr>
          <w:color w:val="000000"/>
          <w:sz w:val="22"/>
        </w:rPr>
      </w:r>
    </w:p>
    <w:p>
      <w:pPr>
        <w:pStyle w:val="Normal"/>
        <w:numPr>
          <w:ilvl w:val="0"/>
          <w:numId w:val="2"/>
        </w:numPr>
        <w:ind w:hanging="720" w:start="720" w:end="0"/>
        <w:jc w:val="both"/>
        <w:rPr>
          <w:sz w:val="22"/>
        </w:rPr>
      </w:pPr>
      <w:r>
        <w:rPr>
          <w:sz w:val="22"/>
        </w:rPr>
        <w:t xml:space="preserve">When determining “Exposure” under Paragraph 3 of the CSA, the Exempt Transactions reflected in </w:t>
      </w:r>
      <w:r>
        <w:rPr>
          <w:sz w:val="22"/>
          <w:u w:val="single"/>
        </w:rPr>
        <w:t>Exhibit A</w:t>
      </w:r>
      <w:r>
        <w:rPr>
          <w:sz w:val="22"/>
        </w:rPr>
        <w:t xml:space="preserve"> attached hereto shall not be included in such calculation.</w:t>
      </w:r>
    </w:p>
    <w:p>
      <w:pPr>
        <w:pStyle w:val="Justified"/>
        <w:numPr>
          <w:ilvl w:val="0"/>
          <w:numId w:val="2"/>
        </w:numPr>
        <w:spacing w:before="240" w:after="0"/>
        <w:ind w:hanging="720" w:start="720" w:end="0"/>
        <w:rPr/>
      </w:pPr>
      <w:r>
        <w:rPr/>
        <w:t xml:space="preserve">The Confirmations with respect to each of the Exempt Transactions reflected in </w:t>
      </w:r>
      <w:r>
        <w:rPr>
          <w:u w:val="single"/>
        </w:rPr>
        <w:t>Exhibit A</w:t>
      </w:r>
      <w:r>
        <w:rPr/>
        <w:t xml:space="preserve"> attached hereto are hereby amended to change the “Fixed Price” set forth in each Confirmation to delete the original Fixed Price reflected in the original Confirmation (“Original Fixed Price”) and replace the Original Fixed Price for each such tranaction with the new Fixed Price (“New Fixed Price”) reflected on </w:t>
      </w:r>
      <w:r>
        <w:rPr>
          <w:u w:val="single"/>
        </w:rPr>
        <w:t>Exhibit A</w:t>
      </w:r>
      <w:r>
        <w:rPr/>
        <w:t xml:space="preserve"> attached hereto.</w:t>
      </w:r>
    </w:p>
    <w:p>
      <w:pPr>
        <w:pStyle w:val="Justified"/>
        <w:spacing w:before="0" w:after="0"/>
        <w:rPr>
          <w:rFonts w:ascii="Times New Roman" w:hAnsi="Times New Roman" w:cs="Times New Roman"/>
        </w:rPr>
      </w:pPr>
      <w:r>
        <w:rPr>
          <w:rFonts w:cs="Times New Roman" w:ascii="Times New Roman" w:hAnsi="Times New Roman"/>
        </w:rPr>
      </w:r>
    </w:p>
    <w:p>
      <w:pPr>
        <w:pStyle w:val="Normal"/>
        <w:jc w:val="center"/>
        <w:rPr>
          <w:sz w:val="22"/>
        </w:rPr>
      </w:pPr>
      <w:r>
        <w:rPr>
          <w:b/>
          <w:sz w:val="22"/>
        </w:rPr>
        <w:t xml:space="preserve">II.  </w:t>
      </w:r>
      <w:r>
        <w:rPr>
          <w:b/>
          <w:sz w:val="22"/>
          <w:u w:val="single"/>
        </w:rPr>
        <w:t>MISCELLANEOUS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BodyText"/>
        <w:rPr/>
      </w:pPr>
      <w:r>
        <w:rPr/>
        <w:tab/>
        <w:t>This Amendment may be executed in multiple counterparts, each of which when executed and delivered shall be deemed to be an original and all of which taken together shall constitute but one and the same instrument.</w:t>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Except as amended hereby, all other provisions of the Master Agreement including the CSA shall remain the same and in full force and effect.</w:t>
      </w:r>
    </w:p>
    <w:p>
      <w:pPr>
        <w:pStyle w:val="Normal"/>
        <w:jc w:val="both"/>
        <w:rPr>
          <w:sz w:val="22"/>
        </w:rPr>
      </w:pPr>
      <w:r>
        <w:rPr>
          <w:sz w:val="22"/>
        </w:rPr>
      </w:r>
    </w:p>
    <w:p>
      <w:pPr>
        <w:pStyle w:val="Normal"/>
        <w:keepNext w:val="true"/>
        <w:jc w:val="both"/>
        <w:rPr>
          <w:sz w:val="22"/>
        </w:rPr>
      </w:pPr>
      <w:r>
        <w:rPr>
          <w:sz w:val="22"/>
        </w:rPr>
        <w:tab/>
        <w:t>IN WITNESS WHEREOF, the parties hereto have entered into this Amendment as of the date first above written.</w:t>
      </w:r>
    </w:p>
    <w:p>
      <w:pPr>
        <w:pStyle w:val="Normal"/>
        <w:keepNext w:val="true"/>
        <w:jc w:val="both"/>
        <w:rPr/>
      </w:pPr>
      <w:r>
        <w:rPr/>
        <w:t xml:space="preserve"> </w:t>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r>
          </w:p>
          <w:p>
            <w:pPr>
              <w:pStyle w:val="Normal"/>
              <w:keepNext w:val="true"/>
              <w:spacing w:lineRule="exact" w:line="240"/>
              <w:jc w:val="both"/>
              <w:rPr>
                <w:sz w:val="22"/>
              </w:rPr>
            </w:pPr>
            <w:r>
              <w:rPr>
                <w:sz w:val="22"/>
              </w:rPr>
              <w:t>Name:</w:t>
              <w:tab/>
            </w:r>
            <w:r>
              <w:rPr>
                <w:sz w:val="22"/>
                <w:u w:val="single"/>
              </w:rPr>
              <w:tab/>
              <w:tab/>
              <w:tab/>
              <w:tab/>
            </w:r>
          </w:p>
          <w:p>
            <w:pPr>
              <w:pStyle w:val="Normal"/>
              <w:keepNext w:val="true"/>
              <w:spacing w:lineRule="exact" w:line="240"/>
              <w:jc w:val="both"/>
              <w:rPr>
                <w:sz w:val="22"/>
              </w:rPr>
            </w:pPr>
            <w:r>
              <w:rPr>
                <w:sz w:val="22"/>
              </w:rPr>
              <w:t>Title:</w:t>
              <w:tab/>
            </w:r>
            <w:r>
              <w:rPr>
                <w:sz w:val="22"/>
                <w:u w:val="single"/>
              </w:rPr>
              <w:tab/>
              <w:tab/>
              <w:tab/>
              <w:tab/>
            </w:r>
          </w:p>
        </w:tc>
        <w:tc>
          <w:tcPr>
            <w:tcW w:w="900" w:type="dxa"/>
            <w:tcBorders/>
          </w:tcPr>
          <w:p>
            <w:pPr>
              <w:pStyle w:val="Normal"/>
              <w:keepNext w:val="true"/>
              <w:snapToGrid w:val="false"/>
              <w:spacing w:lineRule="exact" w:line="240"/>
              <w:jc w:val="both"/>
              <w:rPr>
                <w:sz w:val="22"/>
              </w:rPr>
            </w:pPr>
            <w:r>
              <w:rPr>
                <w:sz w:val="22"/>
              </w:rPr>
            </w:r>
          </w:p>
        </w:tc>
        <w:tc>
          <w:tcPr>
            <w:tcW w:w="4230" w:type="dxa"/>
            <w:tcBorders/>
          </w:tcPr>
          <w:p>
            <w:pPr>
              <w:pStyle w:val="Normal"/>
              <w:keepNext w:val="true"/>
              <w:spacing w:lineRule="exact" w:line="240"/>
              <w:jc w:val="both"/>
              <w:rPr>
                <w:b/>
                <w:bCs/>
                <w:sz w:val="22"/>
              </w:rPr>
            </w:pPr>
            <w:r>
              <w:rPr>
                <w:b/>
                <w:bCs/>
                <w:sz w:val="22"/>
              </w:rPr>
              <w:t>FORCENERGY INC.</w:t>
            </w:r>
          </w:p>
          <w:p>
            <w:pPr>
              <w:pStyle w:val="Normal"/>
              <w:keepNext w:val="true"/>
              <w:spacing w:lineRule="exact" w:line="240"/>
              <w:jc w:val="both"/>
              <w:rPr>
                <w:b/>
                <w:bCs/>
                <w:sz w:val="22"/>
              </w:rPr>
            </w:pPr>
            <w:r>
              <w:rPr>
                <w:b/>
                <w:bC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r>
          </w:p>
          <w:p>
            <w:pPr>
              <w:pStyle w:val="Normal"/>
              <w:keepNext w:val="true"/>
              <w:spacing w:lineRule="exact" w:line="240"/>
              <w:jc w:val="both"/>
              <w:rPr>
                <w:sz w:val="22"/>
              </w:rPr>
            </w:pPr>
            <w:r>
              <w:rPr>
                <w:sz w:val="22"/>
              </w:rPr>
              <w:t>Name:</w:t>
              <w:tab/>
            </w:r>
            <w:r>
              <w:rPr>
                <w:sz w:val="22"/>
                <w:u w:val="single"/>
              </w:rPr>
              <w:tab/>
              <w:tab/>
              <w:tab/>
              <w:tab/>
            </w:r>
          </w:p>
          <w:p>
            <w:pPr>
              <w:pStyle w:val="Normal"/>
              <w:keepNext w:val="true"/>
              <w:spacing w:lineRule="exact" w:line="240"/>
              <w:jc w:val="both"/>
              <w:rPr>
                <w:sz w:val="22"/>
              </w:rPr>
            </w:pPr>
            <w:r>
              <w:rPr>
                <w:sz w:val="22"/>
              </w:rPr>
              <w:t>Title:</w:t>
              <w:tab/>
            </w:r>
            <w:r>
              <w:rPr>
                <w:sz w:val="22"/>
                <w:u w:val="single"/>
              </w:rPr>
              <w:tab/>
              <w:tab/>
              <w:tab/>
              <w:tab/>
            </w:r>
          </w:p>
        </w:tc>
      </w:tr>
    </w:tbl>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Pr>
    </w:p>
    <w:p>
      <w:pPr>
        <w:pStyle w:val="Heading4"/>
        <w:spacing w:lineRule="auto" w:line="240"/>
        <w:ind w:hanging="0" w:start="0"/>
        <w:rPr>
          <w:bCs/>
        </w:rPr>
      </w:pPr>
      <w:r>
        <w:rPr>
          <w:bCs/>
        </w:rPr>
        <w:t>Exhibit A</w:t>
      </w:r>
    </w:p>
    <w:p>
      <w:pPr>
        <w:pStyle w:val="Normal"/>
        <w:keepNext w:val="true"/>
        <w:jc w:val="center"/>
        <w:rPr>
          <w:b/>
          <w:bCs/>
          <w:sz w:val="22"/>
        </w:rPr>
      </w:pPr>
      <w:r>
        <w:rPr>
          <w:b/>
          <w:bCs/>
          <w:sz w:val="22"/>
        </w:rPr>
      </w:r>
    </w:p>
    <w:p>
      <w:pPr>
        <w:pStyle w:val="Normal"/>
        <w:keepNext w:val="true"/>
        <w:jc w:val="center"/>
        <w:rPr>
          <w:b/>
          <w:bCs/>
          <w:sz w:val="22"/>
        </w:rPr>
      </w:pPr>
      <w:r>
        <w:rPr>
          <w:b/>
          <w:bCs/>
          <w:sz w:val="22"/>
        </w:rPr>
        <w:t>EXEMPT TRANSACTIONS</w:t>
      </w:r>
    </w:p>
    <w:p>
      <w:pPr>
        <w:pStyle w:val="Normal"/>
        <w:keepNext w:val="true"/>
        <w:rPr>
          <w:b/>
          <w:bCs/>
          <w:sz w:val="22"/>
        </w:rPr>
      </w:pPr>
      <w:r>
        <w:rPr>
          <w:b/>
          <w:bCs/>
          <w:sz w:val="22"/>
        </w:rPr>
      </w:r>
    </w:p>
    <w:p>
      <w:pPr>
        <w:pStyle w:val="Normal"/>
        <w:keepNext w:val="true"/>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2538"/>
        <w:gridCol w:w="3846"/>
        <w:gridCol w:w="3192"/>
      </w:tblGrid>
      <w:tr>
        <w:trPr/>
        <w:tc>
          <w:tcPr>
            <w:tcW w:w="2538" w:type="dxa"/>
            <w:tcBorders/>
          </w:tcPr>
          <w:p>
            <w:pPr>
              <w:pStyle w:val="Normal"/>
              <w:keepNext w:val="true"/>
              <w:snapToGrid w:val="false"/>
              <w:jc w:val="center"/>
              <w:rPr>
                <w:b/>
                <w:bCs/>
                <w:sz w:val="22"/>
                <w:u w:val="single"/>
              </w:rPr>
            </w:pPr>
            <w:r>
              <w:rPr>
                <w:b/>
                <w:bCs/>
                <w:sz w:val="22"/>
                <w:u w:val="single"/>
              </w:rPr>
            </w:r>
          </w:p>
          <w:p>
            <w:pPr>
              <w:pStyle w:val="Normal"/>
              <w:keepNext w:val="true"/>
              <w:jc w:val="center"/>
              <w:rPr>
                <w:b/>
                <w:bCs/>
                <w:sz w:val="22"/>
                <w:u w:val="single"/>
              </w:rPr>
            </w:pPr>
            <w:r>
              <w:rPr>
                <w:b/>
                <w:bCs/>
                <w:sz w:val="22"/>
                <w:u w:val="single"/>
              </w:rPr>
              <w:t>Enron Deal Number</w:t>
            </w:r>
          </w:p>
        </w:tc>
        <w:tc>
          <w:tcPr>
            <w:tcW w:w="3846" w:type="dxa"/>
            <w:tcBorders/>
          </w:tcPr>
          <w:p>
            <w:pPr>
              <w:pStyle w:val="Normal"/>
              <w:keepNext w:val="true"/>
              <w:jc w:val="center"/>
              <w:rPr>
                <w:b/>
                <w:bCs/>
                <w:sz w:val="22"/>
                <w:u w:val="single"/>
              </w:rPr>
            </w:pPr>
            <w:r>
              <w:rPr>
                <w:b/>
                <w:bCs/>
                <w:sz w:val="22"/>
                <w:u w:val="single"/>
              </w:rPr>
              <w:t>Original Fixed Price</w:t>
            </w:r>
          </w:p>
          <w:p>
            <w:pPr>
              <w:pStyle w:val="Normal"/>
              <w:keepNext w:val="true"/>
              <w:jc w:val="center"/>
              <w:rPr>
                <w:b/>
                <w:bCs/>
                <w:sz w:val="22"/>
                <w:u w:val="single"/>
              </w:rPr>
            </w:pPr>
            <w:r>
              <w:rPr>
                <w:b/>
                <w:bCs/>
                <w:sz w:val="22"/>
                <w:u w:val="single"/>
              </w:rPr>
              <w:t>$US Dollars</w:t>
            </w:r>
          </w:p>
        </w:tc>
        <w:tc>
          <w:tcPr>
            <w:tcW w:w="3192" w:type="dxa"/>
            <w:tcBorders/>
          </w:tcPr>
          <w:p>
            <w:pPr>
              <w:pStyle w:val="Normal"/>
              <w:keepNext w:val="true"/>
              <w:jc w:val="center"/>
              <w:rPr>
                <w:b/>
                <w:bCs/>
                <w:sz w:val="22"/>
                <w:u w:val="single"/>
              </w:rPr>
            </w:pPr>
            <w:r>
              <w:rPr>
                <w:b/>
                <w:bCs/>
                <w:sz w:val="22"/>
                <w:u w:val="single"/>
              </w:rPr>
              <w:t>New Fixed Price</w:t>
            </w:r>
          </w:p>
          <w:p>
            <w:pPr>
              <w:pStyle w:val="Normal"/>
              <w:keepNext w:val="true"/>
              <w:jc w:val="center"/>
              <w:rPr>
                <w:b/>
                <w:bCs/>
                <w:sz w:val="22"/>
                <w:u w:val="single"/>
              </w:rPr>
            </w:pPr>
            <w:r>
              <w:rPr>
                <w:b/>
                <w:bCs/>
                <w:sz w:val="22"/>
                <w:u w:val="single"/>
              </w:rPr>
              <w:t>$US Dollars</w:t>
            </w:r>
          </w:p>
        </w:tc>
      </w:tr>
      <w:tr>
        <w:trPr/>
        <w:tc>
          <w:tcPr>
            <w:tcW w:w="2538" w:type="dxa"/>
            <w:tcBorders/>
          </w:tcPr>
          <w:p>
            <w:pPr>
              <w:pStyle w:val="Normal"/>
              <w:keepNext w:val="true"/>
              <w:snapToGrid w:val="false"/>
              <w:jc w:val="center"/>
              <w:rPr>
                <w:b/>
                <w:bCs/>
                <w:sz w:val="22"/>
                <w:u w:val="single"/>
              </w:rPr>
            </w:pPr>
            <w:r>
              <w:rPr>
                <w:b/>
                <w:bCs/>
                <w:sz w:val="22"/>
                <w:u w:val="single"/>
              </w:rPr>
            </w:r>
          </w:p>
        </w:tc>
        <w:tc>
          <w:tcPr>
            <w:tcW w:w="3846" w:type="dxa"/>
            <w:tcBorders/>
          </w:tcPr>
          <w:p>
            <w:pPr>
              <w:pStyle w:val="Normal"/>
              <w:keepNext w:val="true"/>
              <w:snapToGrid w:val="false"/>
              <w:jc w:val="center"/>
              <w:rPr>
                <w:sz w:val="22"/>
              </w:rPr>
            </w:pPr>
            <w:r>
              <w:rPr>
                <w:sz w:val="22"/>
              </w:rPr>
            </w:r>
          </w:p>
        </w:tc>
        <w:tc>
          <w:tcPr>
            <w:tcW w:w="3192" w:type="dxa"/>
            <w:tcBorders/>
          </w:tcPr>
          <w:p>
            <w:pPr>
              <w:pStyle w:val="Normal"/>
              <w:keepNext w:val="true"/>
              <w:snapToGrid w:val="false"/>
              <w:jc w:val="center"/>
              <w:rPr>
                <w:sz w:val="22"/>
              </w:rPr>
            </w:pPr>
            <w:r>
              <w:rPr>
                <w:sz w:val="22"/>
              </w:rPr>
            </w:r>
          </w:p>
        </w:tc>
      </w:tr>
      <w:tr>
        <w:trPr/>
        <w:tc>
          <w:tcPr>
            <w:tcW w:w="2538" w:type="dxa"/>
            <w:tcBorders/>
          </w:tcPr>
          <w:p>
            <w:pPr>
              <w:pStyle w:val="Normal"/>
              <w:keepNext w:val="true"/>
              <w:jc w:val="center"/>
              <w:rPr>
                <w:sz w:val="22"/>
              </w:rPr>
            </w:pPr>
            <w:r>
              <w:rPr>
                <w:sz w:val="22"/>
              </w:rPr>
              <w:t>E06879.3</w:t>
            </w:r>
          </w:p>
        </w:tc>
        <w:tc>
          <w:tcPr>
            <w:tcW w:w="3846" w:type="dxa"/>
            <w:tcBorders/>
          </w:tcPr>
          <w:p>
            <w:pPr>
              <w:pStyle w:val="Normal"/>
              <w:keepNext w:val="true"/>
              <w:jc w:val="center"/>
              <w:rPr>
                <w:sz w:val="22"/>
              </w:rPr>
            </w:pPr>
            <w:r>
              <w:rPr>
                <w:sz w:val="22"/>
              </w:rPr>
              <w:t>$2.2800</w:t>
            </w:r>
          </w:p>
        </w:tc>
        <w:tc>
          <w:tcPr>
            <w:tcW w:w="3192" w:type="dxa"/>
            <w:tcBorders/>
          </w:tcPr>
          <w:p>
            <w:pPr>
              <w:pStyle w:val="Normal"/>
              <w:keepNext w:val="true"/>
              <w:jc w:val="center"/>
              <w:rPr>
                <w:sz w:val="22"/>
              </w:rPr>
            </w:pPr>
            <w:r>
              <w:rPr>
                <w:sz w:val="22"/>
              </w:rPr>
              <w:t>No change</w:t>
            </w:r>
          </w:p>
        </w:tc>
      </w:tr>
      <w:tr>
        <w:trPr/>
        <w:tc>
          <w:tcPr>
            <w:tcW w:w="2538" w:type="dxa"/>
            <w:tcBorders/>
          </w:tcPr>
          <w:p>
            <w:pPr>
              <w:pStyle w:val="Normal"/>
              <w:keepNext w:val="true"/>
              <w:jc w:val="center"/>
              <w:rPr>
                <w:sz w:val="22"/>
              </w:rPr>
            </w:pPr>
            <w:r>
              <w:rPr>
                <w:sz w:val="22"/>
              </w:rPr>
              <w:t>E07347.3</w:t>
            </w:r>
          </w:p>
        </w:tc>
        <w:tc>
          <w:tcPr>
            <w:tcW w:w="3846" w:type="dxa"/>
            <w:tcBorders/>
          </w:tcPr>
          <w:p>
            <w:pPr>
              <w:pStyle w:val="Normal"/>
              <w:keepNext w:val="true"/>
              <w:jc w:val="center"/>
              <w:rPr>
                <w:sz w:val="22"/>
              </w:rPr>
            </w:pPr>
            <w:r>
              <w:rPr>
                <w:sz w:val="22"/>
              </w:rPr>
              <w:t>$2.3025</w:t>
            </w:r>
          </w:p>
        </w:tc>
        <w:tc>
          <w:tcPr>
            <w:tcW w:w="3192" w:type="dxa"/>
            <w:tcBorders/>
          </w:tcPr>
          <w:p>
            <w:pPr>
              <w:pStyle w:val="Normal"/>
              <w:keepNext w:val="true"/>
              <w:jc w:val="center"/>
              <w:rPr>
                <w:sz w:val="22"/>
              </w:rPr>
            </w:pPr>
            <w:r>
              <w:rPr>
                <w:sz w:val="22"/>
              </w:rPr>
              <w:t>No change</w:t>
            </w:r>
          </w:p>
        </w:tc>
      </w:tr>
      <w:tr>
        <w:trPr/>
        <w:tc>
          <w:tcPr>
            <w:tcW w:w="2538" w:type="dxa"/>
            <w:tcBorders/>
          </w:tcPr>
          <w:p>
            <w:pPr>
              <w:pStyle w:val="Normal"/>
              <w:keepNext w:val="true"/>
              <w:jc w:val="center"/>
              <w:rPr>
                <w:sz w:val="22"/>
              </w:rPr>
            </w:pPr>
            <w:r>
              <w:rPr>
                <w:sz w:val="22"/>
              </w:rPr>
              <w:t>E08646.2</w:t>
            </w:r>
          </w:p>
        </w:tc>
        <w:tc>
          <w:tcPr>
            <w:tcW w:w="3846" w:type="dxa"/>
            <w:tcBorders/>
          </w:tcPr>
          <w:p>
            <w:pPr>
              <w:pStyle w:val="Normal"/>
              <w:keepNext w:val="true"/>
              <w:jc w:val="center"/>
              <w:rPr>
                <w:sz w:val="22"/>
              </w:rPr>
            </w:pPr>
            <w:r>
              <w:rPr>
                <w:sz w:val="22"/>
              </w:rPr>
              <w:t>$2.2950</w:t>
            </w:r>
          </w:p>
        </w:tc>
        <w:tc>
          <w:tcPr>
            <w:tcW w:w="3192" w:type="dxa"/>
            <w:tcBorders/>
          </w:tcPr>
          <w:p>
            <w:pPr>
              <w:pStyle w:val="Normal"/>
              <w:keepNext w:val="true"/>
              <w:jc w:val="center"/>
              <w:rPr>
                <w:sz w:val="22"/>
              </w:rPr>
            </w:pPr>
            <w:r>
              <w:rPr>
                <w:sz w:val="22"/>
              </w:rPr>
              <w:t>No change</w:t>
            </w:r>
          </w:p>
        </w:tc>
      </w:tr>
      <w:tr>
        <w:trPr/>
        <w:tc>
          <w:tcPr>
            <w:tcW w:w="2538" w:type="dxa"/>
            <w:tcBorders/>
          </w:tcPr>
          <w:p>
            <w:pPr>
              <w:pStyle w:val="Normal"/>
              <w:keepNext w:val="true"/>
              <w:jc w:val="center"/>
              <w:rPr>
                <w:sz w:val="22"/>
              </w:rPr>
            </w:pPr>
            <w:r>
              <w:rPr>
                <w:sz w:val="22"/>
              </w:rPr>
              <w:t>NA2350.5</w:t>
            </w:r>
          </w:p>
        </w:tc>
        <w:tc>
          <w:tcPr>
            <w:tcW w:w="3846" w:type="dxa"/>
            <w:tcBorders/>
          </w:tcPr>
          <w:p>
            <w:pPr>
              <w:pStyle w:val="Normal"/>
              <w:keepNext w:val="true"/>
              <w:jc w:val="center"/>
              <w:rPr>
                <w:sz w:val="22"/>
              </w:rPr>
            </w:pPr>
            <w:r>
              <w:rPr>
                <w:sz w:val="22"/>
              </w:rPr>
              <w:t>$2.6750</w:t>
            </w:r>
          </w:p>
        </w:tc>
        <w:tc>
          <w:tcPr>
            <w:tcW w:w="3192" w:type="dxa"/>
            <w:tcBorders/>
          </w:tcPr>
          <w:p>
            <w:pPr>
              <w:pStyle w:val="Normal"/>
              <w:keepNext w:val="true"/>
              <w:jc w:val="center"/>
              <w:rPr>
                <w:sz w:val="22"/>
              </w:rPr>
            </w:pPr>
            <w:r>
              <w:rPr>
                <w:sz w:val="22"/>
              </w:rPr>
              <w:t>No change</w:t>
            </w:r>
          </w:p>
        </w:tc>
      </w:tr>
      <w:tr>
        <w:trPr/>
        <w:tc>
          <w:tcPr>
            <w:tcW w:w="2538" w:type="dxa"/>
            <w:tcBorders/>
          </w:tcPr>
          <w:p>
            <w:pPr>
              <w:pStyle w:val="Normal"/>
              <w:keepNext w:val="true"/>
              <w:jc w:val="center"/>
              <w:rPr>
                <w:sz w:val="22"/>
              </w:rPr>
            </w:pPr>
            <w:r>
              <w:rPr>
                <w:sz w:val="22"/>
              </w:rPr>
              <w:t>NA2350.6</w:t>
            </w:r>
          </w:p>
        </w:tc>
        <w:tc>
          <w:tcPr>
            <w:tcW w:w="3846" w:type="dxa"/>
            <w:tcBorders/>
          </w:tcPr>
          <w:p>
            <w:pPr>
              <w:pStyle w:val="Normal"/>
              <w:keepNext w:val="true"/>
              <w:jc w:val="center"/>
              <w:rPr>
                <w:sz w:val="22"/>
              </w:rPr>
            </w:pPr>
            <w:r>
              <w:rPr>
                <w:sz w:val="22"/>
              </w:rPr>
              <w:t>$2.6750</w:t>
            </w:r>
          </w:p>
        </w:tc>
        <w:tc>
          <w:tcPr>
            <w:tcW w:w="3192" w:type="dxa"/>
            <w:tcBorders/>
          </w:tcPr>
          <w:p>
            <w:pPr>
              <w:pStyle w:val="Normal"/>
              <w:keepNext w:val="true"/>
              <w:jc w:val="center"/>
              <w:rPr>
                <w:sz w:val="22"/>
              </w:rPr>
            </w:pPr>
            <w:r>
              <w:rPr>
                <w:sz w:val="22"/>
              </w:rPr>
              <w:t>No change</w:t>
            </w:r>
          </w:p>
        </w:tc>
      </w:tr>
      <w:tr>
        <w:trPr/>
        <w:tc>
          <w:tcPr>
            <w:tcW w:w="2538" w:type="dxa"/>
            <w:tcBorders/>
          </w:tcPr>
          <w:p>
            <w:pPr>
              <w:pStyle w:val="Normal"/>
              <w:keepNext w:val="true"/>
              <w:jc w:val="center"/>
              <w:rPr>
                <w:sz w:val="22"/>
              </w:rPr>
            </w:pPr>
            <w:r>
              <w:rPr>
                <w:sz w:val="22"/>
              </w:rPr>
              <w:t>NA2350.7</w:t>
            </w:r>
          </w:p>
        </w:tc>
        <w:tc>
          <w:tcPr>
            <w:tcW w:w="3846" w:type="dxa"/>
            <w:tcBorders/>
          </w:tcPr>
          <w:p>
            <w:pPr>
              <w:pStyle w:val="Normal"/>
              <w:keepNext w:val="true"/>
              <w:jc w:val="center"/>
              <w:rPr>
                <w:sz w:val="22"/>
              </w:rPr>
            </w:pPr>
            <w:r>
              <w:rPr>
                <w:sz w:val="22"/>
              </w:rPr>
              <w:t>$2.7000</w:t>
            </w:r>
          </w:p>
        </w:tc>
        <w:tc>
          <w:tcPr>
            <w:tcW w:w="3192" w:type="dxa"/>
            <w:tcBorders/>
          </w:tcPr>
          <w:p>
            <w:pPr>
              <w:pStyle w:val="Normal"/>
              <w:keepNext w:val="true"/>
              <w:jc w:val="center"/>
              <w:rPr>
                <w:sz w:val="22"/>
              </w:rPr>
            </w:pPr>
            <w:r>
              <w:rPr>
                <w:sz w:val="22"/>
              </w:rPr>
              <w:t>No change</w:t>
            </w:r>
          </w:p>
        </w:tc>
      </w:tr>
      <w:tr>
        <w:trPr/>
        <w:tc>
          <w:tcPr>
            <w:tcW w:w="2538" w:type="dxa"/>
            <w:tcBorders/>
          </w:tcPr>
          <w:p>
            <w:pPr>
              <w:pStyle w:val="Normal"/>
              <w:keepNext w:val="true"/>
              <w:jc w:val="center"/>
              <w:rPr>
                <w:sz w:val="22"/>
              </w:rPr>
            </w:pPr>
            <w:r>
              <w:rPr>
                <w:sz w:val="22"/>
              </w:rPr>
              <w:t>NA2350.8</w:t>
            </w:r>
          </w:p>
        </w:tc>
        <w:tc>
          <w:tcPr>
            <w:tcW w:w="3846" w:type="dxa"/>
            <w:tcBorders/>
          </w:tcPr>
          <w:p>
            <w:pPr>
              <w:pStyle w:val="Normal"/>
              <w:keepNext w:val="true"/>
              <w:jc w:val="center"/>
              <w:rPr>
                <w:sz w:val="22"/>
              </w:rPr>
            </w:pPr>
            <w:r>
              <w:rPr>
                <w:sz w:val="22"/>
              </w:rPr>
              <w:t>$2.8400</w:t>
            </w:r>
          </w:p>
        </w:tc>
        <w:tc>
          <w:tcPr>
            <w:tcW w:w="3192" w:type="dxa"/>
            <w:tcBorders/>
          </w:tcPr>
          <w:p>
            <w:pPr>
              <w:pStyle w:val="Normal"/>
              <w:keepNext w:val="true"/>
              <w:jc w:val="center"/>
              <w:rPr>
                <w:sz w:val="22"/>
              </w:rPr>
            </w:pPr>
            <w:r>
              <w:rPr>
                <w:sz w:val="22"/>
              </w:rPr>
              <w:t>No change</w:t>
            </w:r>
          </w:p>
        </w:tc>
      </w:tr>
      <w:tr>
        <w:trPr/>
        <w:tc>
          <w:tcPr>
            <w:tcW w:w="2538" w:type="dxa"/>
            <w:tcBorders/>
          </w:tcPr>
          <w:p>
            <w:pPr>
              <w:pStyle w:val="Normal"/>
              <w:keepNext w:val="true"/>
              <w:jc w:val="center"/>
              <w:rPr>
                <w:sz w:val="22"/>
              </w:rPr>
            </w:pPr>
            <w:r>
              <w:rPr>
                <w:sz w:val="22"/>
              </w:rPr>
              <w:t>NA2350.9</w:t>
            </w:r>
          </w:p>
        </w:tc>
        <w:tc>
          <w:tcPr>
            <w:tcW w:w="3846" w:type="dxa"/>
            <w:tcBorders/>
          </w:tcPr>
          <w:p>
            <w:pPr>
              <w:pStyle w:val="Normal"/>
              <w:keepNext w:val="true"/>
              <w:jc w:val="center"/>
              <w:rPr>
                <w:sz w:val="22"/>
              </w:rPr>
            </w:pPr>
            <w:r>
              <w:rPr>
                <w:sz w:val="22"/>
              </w:rPr>
              <w:t>$2.9600</w:t>
            </w:r>
          </w:p>
        </w:tc>
        <w:tc>
          <w:tcPr>
            <w:tcW w:w="3192" w:type="dxa"/>
            <w:tcBorders/>
          </w:tcPr>
          <w:p>
            <w:pPr>
              <w:pStyle w:val="Normal"/>
              <w:keepNext w:val="true"/>
              <w:jc w:val="center"/>
              <w:rPr>
                <w:sz w:val="22"/>
              </w:rPr>
            </w:pPr>
            <w:r>
              <w:rPr>
                <w:sz w:val="22"/>
              </w:rPr>
              <w:t>No change</w:t>
            </w:r>
          </w:p>
        </w:tc>
      </w:tr>
      <w:tr>
        <w:trPr/>
        <w:tc>
          <w:tcPr>
            <w:tcW w:w="2538" w:type="dxa"/>
            <w:tcBorders/>
          </w:tcPr>
          <w:p>
            <w:pPr>
              <w:pStyle w:val="Normal"/>
              <w:keepNext w:val="true"/>
              <w:jc w:val="center"/>
              <w:rPr>
                <w:sz w:val="22"/>
              </w:rPr>
            </w:pPr>
            <w:r>
              <w:rPr>
                <w:sz w:val="22"/>
              </w:rPr>
              <w:t>NA2242.1</w:t>
            </w:r>
          </w:p>
        </w:tc>
        <w:tc>
          <w:tcPr>
            <w:tcW w:w="3846" w:type="dxa"/>
            <w:tcBorders/>
          </w:tcPr>
          <w:p>
            <w:pPr>
              <w:pStyle w:val="Normal"/>
              <w:keepNext w:val="true"/>
              <w:jc w:val="center"/>
              <w:rPr>
                <w:sz w:val="22"/>
              </w:rPr>
            </w:pPr>
            <w:r>
              <w:rPr>
                <w:sz w:val="22"/>
              </w:rPr>
              <w:t>August 2000:  $25.61</w:t>
            </w:r>
          </w:p>
        </w:tc>
        <w:tc>
          <w:tcPr>
            <w:tcW w:w="3192" w:type="dxa"/>
            <w:tcBorders/>
          </w:tcPr>
          <w:p>
            <w:pPr>
              <w:pStyle w:val="Normal"/>
              <w:keepNext w:val="true"/>
              <w:jc w:val="center"/>
              <w:rPr>
                <w:sz w:val="22"/>
              </w:rPr>
            </w:pPr>
            <w:r>
              <w:rPr>
                <w:sz w:val="22"/>
              </w:rPr>
              <w:t>August 2000:  $25.44</w:t>
            </w:r>
          </w:p>
        </w:tc>
      </w:tr>
      <w:tr>
        <w:trPr/>
        <w:tc>
          <w:tcPr>
            <w:tcW w:w="2538" w:type="dxa"/>
            <w:tcBorders/>
          </w:tcPr>
          <w:p>
            <w:pPr>
              <w:pStyle w:val="Normal"/>
              <w:keepNext w:val="true"/>
              <w:snapToGrid w:val="false"/>
              <w:jc w:val="center"/>
              <w:rPr>
                <w:sz w:val="22"/>
              </w:rPr>
            </w:pPr>
            <w:r>
              <w:rPr>
                <w:sz w:val="22"/>
              </w:rPr>
            </w:r>
          </w:p>
        </w:tc>
        <w:tc>
          <w:tcPr>
            <w:tcW w:w="3846" w:type="dxa"/>
            <w:tcBorders/>
          </w:tcPr>
          <w:p>
            <w:pPr>
              <w:pStyle w:val="Normal"/>
              <w:keepNext w:val="true"/>
              <w:jc w:val="center"/>
              <w:rPr>
                <w:sz w:val="22"/>
              </w:rPr>
            </w:pPr>
            <w:r>
              <w:rPr>
                <w:sz w:val="22"/>
              </w:rPr>
              <w:t>September 2000:  $25.00</w:t>
            </w:r>
          </w:p>
        </w:tc>
        <w:tc>
          <w:tcPr>
            <w:tcW w:w="3192" w:type="dxa"/>
            <w:tcBorders/>
          </w:tcPr>
          <w:p>
            <w:pPr>
              <w:pStyle w:val="Normal"/>
              <w:keepNext w:val="true"/>
              <w:jc w:val="center"/>
              <w:rPr>
                <w:sz w:val="22"/>
              </w:rPr>
            </w:pPr>
            <w:r>
              <w:rPr>
                <w:sz w:val="22"/>
              </w:rPr>
              <w:t>September 2000:  $24.83</w:t>
            </w:r>
          </w:p>
        </w:tc>
      </w:tr>
      <w:tr>
        <w:trPr/>
        <w:tc>
          <w:tcPr>
            <w:tcW w:w="2538" w:type="dxa"/>
            <w:tcBorders/>
          </w:tcPr>
          <w:p>
            <w:pPr>
              <w:pStyle w:val="Normal"/>
              <w:keepNext w:val="true"/>
              <w:snapToGrid w:val="false"/>
              <w:jc w:val="center"/>
              <w:rPr>
                <w:sz w:val="22"/>
              </w:rPr>
            </w:pPr>
            <w:r>
              <w:rPr>
                <w:sz w:val="22"/>
              </w:rPr>
            </w:r>
          </w:p>
        </w:tc>
        <w:tc>
          <w:tcPr>
            <w:tcW w:w="3846" w:type="dxa"/>
            <w:tcBorders/>
          </w:tcPr>
          <w:p>
            <w:pPr>
              <w:pStyle w:val="Normal"/>
              <w:keepNext w:val="true"/>
              <w:jc w:val="center"/>
              <w:rPr>
                <w:sz w:val="22"/>
              </w:rPr>
            </w:pPr>
            <w:r>
              <w:rPr>
                <w:sz w:val="22"/>
              </w:rPr>
              <w:t>October 2000:  $24.50</w:t>
            </w:r>
          </w:p>
        </w:tc>
        <w:tc>
          <w:tcPr>
            <w:tcW w:w="3192" w:type="dxa"/>
            <w:tcBorders/>
          </w:tcPr>
          <w:p>
            <w:pPr>
              <w:pStyle w:val="Normal"/>
              <w:keepNext w:val="true"/>
              <w:jc w:val="center"/>
              <w:rPr>
                <w:sz w:val="22"/>
              </w:rPr>
            </w:pPr>
            <w:r>
              <w:rPr>
                <w:sz w:val="22"/>
              </w:rPr>
              <w:t>October 2000:  $24.33</w:t>
            </w:r>
          </w:p>
        </w:tc>
      </w:tr>
      <w:tr>
        <w:trPr/>
        <w:tc>
          <w:tcPr>
            <w:tcW w:w="2538" w:type="dxa"/>
            <w:tcBorders/>
          </w:tcPr>
          <w:p>
            <w:pPr>
              <w:pStyle w:val="Normal"/>
              <w:keepNext w:val="true"/>
              <w:snapToGrid w:val="false"/>
              <w:jc w:val="center"/>
              <w:rPr>
                <w:sz w:val="22"/>
              </w:rPr>
            </w:pPr>
            <w:r>
              <w:rPr>
                <w:sz w:val="22"/>
              </w:rPr>
            </w:r>
          </w:p>
        </w:tc>
        <w:tc>
          <w:tcPr>
            <w:tcW w:w="3846" w:type="dxa"/>
            <w:tcBorders/>
          </w:tcPr>
          <w:p>
            <w:pPr>
              <w:pStyle w:val="Normal"/>
              <w:keepNext w:val="true"/>
              <w:jc w:val="center"/>
              <w:rPr>
                <w:sz w:val="22"/>
              </w:rPr>
            </w:pPr>
            <w:r>
              <w:rPr>
                <w:sz w:val="22"/>
              </w:rPr>
              <w:t>November 2000:  $24.05</w:t>
            </w:r>
          </w:p>
        </w:tc>
        <w:tc>
          <w:tcPr>
            <w:tcW w:w="3192" w:type="dxa"/>
            <w:tcBorders/>
          </w:tcPr>
          <w:p>
            <w:pPr>
              <w:pStyle w:val="Normal"/>
              <w:keepNext w:val="true"/>
              <w:jc w:val="center"/>
              <w:rPr>
                <w:sz w:val="22"/>
              </w:rPr>
            </w:pPr>
            <w:r>
              <w:rPr>
                <w:sz w:val="22"/>
              </w:rPr>
              <w:t>November 2000:  $23.88</w:t>
            </w:r>
          </w:p>
        </w:tc>
      </w:tr>
      <w:tr>
        <w:trPr/>
        <w:tc>
          <w:tcPr>
            <w:tcW w:w="2538" w:type="dxa"/>
            <w:tcBorders/>
          </w:tcPr>
          <w:p>
            <w:pPr>
              <w:pStyle w:val="Normal"/>
              <w:keepNext w:val="true"/>
              <w:snapToGrid w:val="false"/>
              <w:jc w:val="center"/>
              <w:rPr>
                <w:sz w:val="22"/>
              </w:rPr>
            </w:pPr>
            <w:r>
              <w:rPr>
                <w:sz w:val="22"/>
              </w:rPr>
            </w:r>
          </w:p>
        </w:tc>
        <w:tc>
          <w:tcPr>
            <w:tcW w:w="3846" w:type="dxa"/>
            <w:tcBorders/>
          </w:tcPr>
          <w:p>
            <w:pPr>
              <w:pStyle w:val="Normal"/>
              <w:keepNext w:val="true"/>
              <w:jc w:val="center"/>
              <w:rPr>
                <w:sz w:val="22"/>
              </w:rPr>
            </w:pPr>
            <w:r>
              <w:rPr>
                <w:sz w:val="22"/>
              </w:rPr>
              <w:t>December 2000:  $23.70</w:t>
            </w:r>
          </w:p>
        </w:tc>
        <w:tc>
          <w:tcPr>
            <w:tcW w:w="3192" w:type="dxa"/>
            <w:tcBorders/>
          </w:tcPr>
          <w:p>
            <w:pPr>
              <w:pStyle w:val="Normal"/>
              <w:keepNext w:val="true"/>
              <w:jc w:val="center"/>
              <w:rPr>
                <w:sz w:val="22"/>
              </w:rPr>
            </w:pPr>
            <w:r>
              <w:rPr>
                <w:sz w:val="22"/>
              </w:rPr>
              <w:t>December 2000:  $23.53</w:t>
            </w:r>
          </w:p>
        </w:tc>
      </w:tr>
      <w:tr>
        <w:trPr/>
        <w:tc>
          <w:tcPr>
            <w:tcW w:w="2538" w:type="dxa"/>
            <w:tcBorders/>
          </w:tcPr>
          <w:p>
            <w:pPr>
              <w:pStyle w:val="Normal"/>
              <w:keepNext w:val="true"/>
              <w:snapToGrid w:val="false"/>
              <w:jc w:val="center"/>
              <w:rPr>
                <w:sz w:val="22"/>
              </w:rPr>
            </w:pPr>
            <w:r>
              <w:rPr>
                <w:sz w:val="22"/>
              </w:rPr>
            </w:r>
          </w:p>
        </w:tc>
        <w:tc>
          <w:tcPr>
            <w:tcW w:w="3846" w:type="dxa"/>
            <w:tcBorders/>
          </w:tcPr>
          <w:p>
            <w:pPr>
              <w:pStyle w:val="Normal"/>
              <w:keepNext w:val="true"/>
              <w:snapToGrid w:val="false"/>
              <w:jc w:val="center"/>
              <w:rPr>
                <w:sz w:val="22"/>
              </w:rPr>
            </w:pPr>
            <w:r>
              <w:rPr>
                <w:sz w:val="22"/>
              </w:rPr>
            </w:r>
          </w:p>
        </w:tc>
        <w:tc>
          <w:tcPr>
            <w:tcW w:w="3192" w:type="dxa"/>
            <w:tcBorders/>
          </w:tcPr>
          <w:p>
            <w:pPr>
              <w:pStyle w:val="Normal"/>
              <w:keepNext w:val="true"/>
              <w:snapToGrid w:val="false"/>
              <w:jc w:val="center"/>
              <w:rPr>
                <w:sz w:val="22"/>
              </w:rPr>
            </w:pPr>
            <w:r>
              <w:rPr>
                <w:sz w:val="22"/>
              </w:rPr>
            </w:r>
          </w:p>
        </w:tc>
      </w:tr>
      <w:tr>
        <w:trPr/>
        <w:tc>
          <w:tcPr>
            <w:tcW w:w="2538" w:type="dxa"/>
            <w:tcBorders/>
          </w:tcPr>
          <w:p>
            <w:pPr>
              <w:pStyle w:val="Normal"/>
              <w:keepNext w:val="true"/>
              <w:snapToGrid w:val="false"/>
              <w:jc w:val="center"/>
              <w:rPr>
                <w:sz w:val="22"/>
              </w:rPr>
            </w:pPr>
            <w:r>
              <w:rPr>
                <w:sz w:val="22"/>
              </w:rPr>
            </w:r>
          </w:p>
        </w:tc>
        <w:tc>
          <w:tcPr>
            <w:tcW w:w="3846" w:type="dxa"/>
            <w:tcBorders/>
          </w:tcPr>
          <w:p>
            <w:pPr>
              <w:pStyle w:val="Normal"/>
              <w:keepNext w:val="true"/>
              <w:snapToGrid w:val="false"/>
              <w:jc w:val="center"/>
              <w:rPr>
                <w:sz w:val="22"/>
              </w:rPr>
            </w:pPr>
            <w:r>
              <w:rPr>
                <w:sz w:val="22"/>
              </w:rPr>
            </w:r>
          </w:p>
        </w:tc>
        <w:tc>
          <w:tcPr>
            <w:tcW w:w="3192" w:type="dxa"/>
            <w:tcBorders/>
          </w:tcPr>
          <w:p>
            <w:pPr>
              <w:pStyle w:val="Normal"/>
              <w:keepNext w:val="true"/>
              <w:snapToGrid w:val="false"/>
              <w:jc w:val="center"/>
              <w:rPr>
                <w:sz w:val="22"/>
              </w:rPr>
            </w:pPr>
            <w:r>
              <w:rPr>
                <w:sz w:val="22"/>
              </w:rPr>
            </w:r>
          </w:p>
        </w:tc>
      </w:tr>
      <w:tr>
        <w:trPr/>
        <w:tc>
          <w:tcPr>
            <w:tcW w:w="2538" w:type="dxa"/>
            <w:tcBorders/>
          </w:tcPr>
          <w:p>
            <w:pPr>
              <w:pStyle w:val="Normal"/>
              <w:keepNext w:val="true"/>
              <w:snapToGrid w:val="false"/>
              <w:jc w:val="center"/>
              <w:rPr>
                <w:sz w:val="22"/>
              </w:rPr>
            </w:pPr>
            <w:r>
              <w:rPr>
                <w:sz w:val="22"/>
              </w:rPr>
            </w:r>
          </w:p>
        </w:tc>
        <w:tc>
          <w:tcPr>
            <w:tcW w:w="3846" w:type="dxa"/>
            <w:tcBorders/>
          </w:tcPr>
          <w:p>
            <w:pPr>
              <w:pStyle w:val="Normal"/>
              <w:keepNext w:val="true"/>
              <w:snapToGrid w:val="false"/>
              <w:jc w:val="center"/>
              <w:rPr>
                <w:sz w:val="22"/>
              </w:rPr>
            </w:pPr>
            <w:r>
              <w:rPr>
                <w:sz w:val="22"/>
              </w:rPr>
            </w:r>
          </w:p>
        </w:tc>
        <w:tc>
          <w:tcPr>
            <w:tcW w:w="3192" w:type="dxa"/>
            <w:tcBorders/>
          </w:tcPr>
          <w:p>
            <w:pPr>
              <w:pStyle w:val="Normal"/>
              <w:keepNext w:val="true"/>
              <w:snapToGrid w:val="false"/>
              <w:jc w:val="center"/>
              <w:rPr>
                <w:sz w:val="22"/>
              </w:rPr>
            </w:pPr>
            <w:r>
              <w:rPr>
                <w:sz w:val="22"/>
              </w:rPr>
            </w:r>
          </w:p>
        </w:tc>
      </w:tr>
    </w:tbl>
    <w:p>
      <w:pPr>
        <w:pStyle w:val="Normal"/>
        <w:keepNext w:val="true"/>
        <w:rPr>
          <w:sz w:val="22"/>
        </w:rPr>
      </w:pPr>
      <w:r>
        <w:rPr>
          <w:sz w:val="22"/>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90" w:start="90" w:end="0"/>
      <w:rPr>
        <w:sz w:val="12"/>
      </w:rPr>
    </w:pPr>
    <w:r>
      <w:rPr>
        <w:sz w:val="12"/>
      </w:rPr>
      <w:fldChar w:fldCharType="begin"/>
    </w:r>
    <w:r>
      <w:rPr>
        <w:sz w:val="12"/>
      </w:rPr>
      <w:instrText xml:space="preserve"> FILENAME \p </w:instrText>
    </w:r>
    <w:r>
      <w:rPr>
        <w:sz w:val="12"/>
      </w:rPr>
      <w:fldChar w:fldCharType="separate"/>
    </w:r>
    <w:r>
      <w:rPr>
        <w:sz w:val="12"/>
      </w:rPr>
      <w:t>/mnt/main-storage/datasets/enron-docs/doc/amdforce_energy_.doc</w:t>
    </w:r>
    <w:r>
      <w:rPr>
        <w:sz w:val="12"/>
      </w:rPr>
      <w:fldChar w:fldCharType="end"/>
    </w:r>
  </w:p>
  <w:p>
    <w:pPr>
      <w:pStyle w:val="Footer"/>
      <w:jc w:val="cent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90" w:start="90" w:end="0"/>
      <w:rPr>
        <w:sz w:val="12"/>
      </w:rPr>
    </w:pPr>
    <w:r>
      <w:rPr>
        <w:sz w:val="12"/>
      </w:rPr>
      <w:fldChar w:fldCharType="begin"/>
    </w:r>
    <w:r>
      <w:rPr>
        <w:sz w:val="12"/>
      </w:rPr>
      <w:instrText xml:space="preserve"> FILENAME \p </w:instrText>
    </w:r>
    <w:r>
      <w:rPr>
        <w:sz w:val="12"/>
      </w:rPr>
      <w:fldChar w:fldCharType="separate"/>
    </w:r>
    <w:r>
      <w:rPr>
        <w:sz w:val="12"/>
      </w:rPr>
      <w:t>/mnt/main-storage/datasets/enron-docs/doc/amdforce_energy_.doc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720" w:end="0"/>
      <w:jc w:val="both"/>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lineRule="exact" w:line="240"/>
      <w:jc w:val="center"/>
      <w:outlineLvl w:val="3"/>
    </w:pPr>
    <w:rPr>
      <w:b/>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z w:val="22"/>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sz w:val="16"/>
      <w:vertAlign w:val="superscript"/>
    </w:rPr>
  </w:style>
  <w:style w:type="paragraph" w:styleId="Heading">
    <w:name w:val="Heading"/>
    <w:basedOn w:val="Normal"/>
    <w:next w:val="BodyText"/>
    <w:qFormat/>
    <w:pPr>
      <w:jc w:val="center"/>
    </w:pPr>
    <w:rPr>
      <w:b/>
      <w:sz w:val="22"/>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FootnoteText">
    <w:name w:val="footnote text"/>
    <w:basedOn w:val="Normal"/>
    <w:pPr>
      <w:widowControl w:val="false"/>
    </w:pPr>
    <w:rPr>
      <w:rFonts w:ascii="Arial" w:hAnsi="Arial" w:cs="Arial"/>
      <w:sz w:val="20"/>
    </w:rPr>
  </w:style>
  <w:style w:type="paragraph" w:styleId="BodyTextIndent3">
    <w:name w:val="Body Text Indent 3"/>
    <w:basedOn w:val="Normal"/>
    <w:qFormat/>
    <w:pPr>
      <w:ind w:hanging="0" w:start="720" w:end="0"/>
      <w:jc w:val="both"/>
    </w:pPr>
    <w:rPr>
      <w:sz w:val="22"/>
    </w:rPr>
  </w:style>
  <w:style w:type="paragraph" w:styleId="BodyTextIndent">
    <w:name w:val="Body Text Indent"/>
    <w:basedOn w:val="Normal"/>
    <w:pPr>
      <w:ind w:hanging="0" w:start="1440" w:end="0"/>
      <w:jc w:val="both"/>
    </w:pPr>
    <w:rPr>
      <w:sz w:val="22"/>
    </w:rPr>
  </w:style>
  <w:style w:type="paragraph" w:styleId="BodyTextIndent2">
    <w:name w:val="Body Text Indent 2"/>
    <w:basedOn w:val="Normal"/>
    <w:qFormat/>
    <w:pPr>
      <w:keepNext w:val="true"/>
      <w:ind w:hanging="0" w:start="720" w:end="0"/>
      <w:jc w:val="both"/>
    </w:pPr>
    <w:rPr>
      <w:sz w:val="20"/>
    </w:rPr>
  </w:style>
  <w:style w:type="paragraph" w:styleId="BodyText3">
    <w:name w:val="Body Text 3"/>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2000-08-04T16:51:00Z</dcterms:created>
  <dc:creator>mheard</dc:creator>
  <dc:description/>
  <dc:language>en-CA</dc:language>
  <cp:lastModifiedBy>tjones</cp:lastModifiedBy>
  <cp:lastPrinted>2000-08-04T15:08:00Z</cp:lastPrinted>
  <dcterms:modified xsi:type="dcterms:W3CDTF">2000-08-04T18:18:00Z</dcterms:modified>
  <cp:revision>13</cp:revision>
  <dc:subject/>
  <dc:title>AMENDMENT TO MASTER AGREEMENT</dc:title>
</cp:coreProperties>
</file>