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u w:val="single"/>
        </w:rPr>
        <w:t>FIRST AMENDMENT TO ISDA MASTER AGREEMENT</w:t>
      </w:r>
    </w:p>
    <w:p>
      <w:pPr>
        <w:pStyle w:val="Normal"/>
        <w:rPr>
          <w:b/>
          <w:sz w:val="22"/>
        </w:rPr>
      </w:pPr>
      <w:r>
        <w:rPr>
          <w:b/>
          <w:sz w:val="22"/>
        </w:rPr>
      </w:r>
    </w:p>
    <w:p>
      <w:pPr>
        <w:pStyle w:val="Normal"/>
        <w:rPr>
          <w:sz w:val="22"/>
        </w:rPr>
      </w:pPr>
      <w:r>
        <w:rPr>
          <w:sz w:val="22"/>
        </w:rPr>
      </w:r>
    </w:p>
    <w:p>
      <w:pPr>
        <w:pStyle w:val="Normal"/>
        <w:jc w:val="both"/>
        <w:rPr>
          <w:sz w:val="22"/>
        </w:rPr>
      </w:pPr>
      <w:r>
        <w:rPr>
          <w:sz w:val="22"/>
        </w:rPr>
        <w:tab/>
        <w:t>This First Amendment to ISDA Master Agreement dated as of July __, 2000 (the “Amendment”), is made and entered into by and between Petro Canada (“Counterparty”) and Enron Canada Corp. (formerly known as Enron Capital &amp; Trade Resources Canada Corp.) (“ECC”).</w:t>
      </w:r>
    </w:p>
    <w:p>
      <w:pPr>
        <w:pStyle w:val="Normal"/>
        <w:jc w:val="both"/>
        <w:rPr>
          <w:sz w:val="22"/>
        </w:rPr>
      </w:pPr>
      <w:r>
        <w:rPr>
          <w:sz w:val="22"/>
        </w:rPr>
      </w:r>
    </w:p>
    <w:p>
      <w:pPr>
        <w:pStyle w:val="Normal"/>
        <w:jc w:val="both"/>
        <w:rPr>
          <w:sz w:val="22"/>
        </w:rPr>
      </w:pPr>
      <w:r>
        <w:rPr>
          <w:sz w:val="22"/>
        </w:rPr>
        <w:tab/>
        <w:t>WHEREAS, Counterparty and ECC entered into that certain ISDA Master Agreement dated as of May 27, 1998 (the “Master Agreement”);</w:t>
      </w:r>
    </w:p>
    <w:p>
      <w:pPr>
        <w:pStyle w:val="Normal"/>
        <w:jc w:val="both"/>
        <w:rPr>
          <w:sz w:val="22"/>
        </w:rPr>
      </w:pPr>
      <w:r>
        <w:rPr>
          <w:sz w:val="22"/>
        </w:rPr>
      </w:r>
    </w:p>
    <w:p>
      <w:pPr>
        <w:pStyle w:val="Normal"/>
        <w:jc w:val="both"/>
        <w:rPr>
          <w:sz w:val="22"/>
        </w:rPr>
      </w:pPr>
      <w:r>
        <w:rPr>
          <w:sz w:val="22"/>
        </w:rPr>
        <w:tab/>
        <w:t>WHEREAS, the parties hereto desire to amend the Master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jc w:val="both"/>
        <w:rPr>
          <w:sz w:val="22"/>
        </w:rPr>
      </w:pPr>
      <w:r>
        <w:rPr>
          <w:sz w:val="22"/>
        </w:rPr>
        <w:tab/>
        <w:t>The Master Agreement is hereby amended as follows:</w:t>
      </w:r>
    </w:p>
    <w:p>
      <w:pPr>
        <w:pStyle w:val="Normal"/>
        <w:jc w:val="both"/>
        <w:rPr>
          <w:sz w:val="22"/>
        </w:rPr>
      </w:pPr>
      <w:r>
        <w:rPr>
          <w:sz w:val="22"/>
        </w:rPr>
      </w:r>
    </w:p>
    <w:p>
      <w:pPr>
        <w:pStyle w:val="Normal"/>
        <w:jc w:val="both"/>
        <w:rPr>
          <w:sz w:val="22"/>
        </w:rPr>
      </w:pPr>
      <w:r>
        <w:rPr>
          <w:sz w:val="22"/>
        </w:rPr>
        <w:t>1.</w:t>
        <w:tab/>
        <w:t>Part 5(c) of the Schedule to the Master Agreement is further amended to add thereto an additional clause (vii), which shall read in its entirety as follows:</w:t>
      </w:r>
    </w:p>
    <w:p>
      <w:pPr>
        <w:pStyle w:val="Normal"/>
        <w:jc w:val="both"/>
        <w:rPr>
          <w:sz w:val="22"/>
        </w:rPr>
      </w:pPr>
      <w:r>
        <w:rPr>
          <w:sz w:val="22"/>
        </w:rPr>
      </w:r>
    </w:p>
    <w:p>
      <w:pPr>
        <w:pStyle w:val="Normal"/>
        <w:ind w:start="720" w:end="0"/>
        <w:jc w:val="both"/>
        <w:rPr>
          <w:color w:val="000000"/>
          <w:sz w:val="22"/>
        </w:rPr>
      </w:pPr>
      <w:r>
        <w:rPr>
          <w:color w:val="000000"/>
          <w:sz w:val="22"/>
        </w:rPr>
        <w:t>“</w:t>
      </w:r>
      <w:r>
        <w:rPr>
          <w:color w:val="000000"/>
          <w:sz w:val="22"/>
        </w:rPr>
        <w:t>(vii)</w:t>
        <w:tab/>
      </w:r>
      <w:r>
        <w:rPr>
          <w:b/>
          <w:bCs/>
          <w:color w:val="000000"/>
          <w:sz w:val="22"/>
          <w:szCs w:val="22"/>
        </w:rPr>
        <w:t>Canadian Securities Acts.</w:t>
      </w:r>
      <w:r>
        <w:rPr>
          <w:color w:val="000000"/>
          <w:sz w:val="22"/>
          <w:szCs w:val="22"/>
        </w:rPr>
        <w:t xml:space="preserve">  (i) Each Transaction shall constitute an “OTC Derivative” as defined in the </w:t>
      </w:r>
      <w:r>
        <w:rPr>
          <w:i/>
          <w:iCs/>
          <w:color w:val="000000"/>
          <w:sz w:val="22"/>
          <w:szCs w:val="22"/>
        </w:rPr>
        <w:t>Securities Act</w:t>
      </w:r>
      <w:r>
        <w:rPr>
          <w:color w:val="000000"/>
          <w:sz w:val="22"/>
          <w:szCs w:val="22"/>
        </w:rPr>
        <w:t xml:space="preserve"> (Alberta) and the </w:t>
      </w:r>
      <w:r>
        <w:rPr>
          <w:i/>
          <w:iCs/>
          <w:color w:val="000000"/>
          <w:sz w:val="22"/>
          <w:szCs w:val="22"/>
        </w:rPr>
        <w:t>Securities Act</w:t>
      </w:r>
      <w:r>
        <w:rPr>
          <w:color w:val="000000"/>
          <w:sz w:val="22"/>
          <w:szCs w:val="22"/>
        </w:rPr>
        <w:t xml:space="preserve"> (British Columbia) which have application to such Transaction and (ii) it is a “Qualified Party” within the meaning of paragraph 9.1 of Alberta Securities Commission Order Doc#394043 and/or paragraph 1.1 of the British Columbia Securities Commission Blanket Order BOR#91-501(BC), as in effect on the date hereof.”</w:t>
      </w:r>
    </w:p>
    <w:p>
      <w:pPr>
        <w:pStyle w:val="Normal"/>
        <w:jc w:val="both"/>
        <w:rPr>
          <w:color w:val="000000"/>
          <w:sz w:val="22"/>
        </w:rPr>
      </w:pPr>
      <w:r>
        <w:rPr>
          <w:color w:val="000000"/>
          <w:sz w:val="22"/>
        </w:rPr>
      </w:r>
    </w:p>
    <w:p>
      <w:pPr>
        <w:pStyle w:val="Normal"/>
        <w:jc w:val="both"/>
        <w:rPr>
          <w:sz w:val="22"/>
        </w:rPr>
      </w:pPr>
      <w:r>
        <w:rPr>
          <w:sz w:val="22"/>
        </w:rPr>
        <w:t>2.</w:t>
        <w:tab/>
        <w:t>"The definition of “Threshold” contained in Paragraph 13(b)(iv)(B) of the Credit Support Annex is hereby deleted and replaced with the following:</w:t>
      </w:r>
    </w:p>
    <w:p>
      <w:pPr>
        <w:pStyle w:val="Normal"/>
        <w:jc w:val="both"/>
        <w:rPr>
          <w:sz w:val="22"/>
        </w:rPr>
      </w:pPr>
      <w:r>
        <w:rPr>
          <w:sz w:val="22"/>
        </w:rPr>
      </w:r>
    </w:p>
    <w:p>
      <w:pPr>
        <w:pStyle w:val="Normal"/>
        <w:ind w:start="720" w:end="0"/>
        <w:jc w:val="both"/>
        <w:rPr>
          <w:sz w:val="22"/>
        </w:rPr>
      </w:pPr>
      <w:r>
        <w:rPr>
          <w:color w:val="000000"/>
          <w:sz w:val="22"/>
          <w:szCs w:val="22"/>
        </w:rPr>
        <w:t xml:space="preserve">“ </w:t>
      </w:r>
      <w:r>
        <w:rPr>
          <w:b/>
          <w:bCs/>
          <w:color w:val="000000"/>
          <w:sz w:val="22"/>
          <w:szCs w:val="22"/>
        </w:rPr>
        <w:t>“</w:t>
      </w:r>
      <w:r>
        <w:rPr>
          <w:b/>
          <w:bCs/>
          <w:color w:val="000000"/>
          <w:sz w:val="22"/>
          <w:szCs w:val="22"/>
        </w:rPr>
        <w:t>Threshold”</w:t>
      </w:r>
      <w:r>
        <w:rPr>
          <w:color w:val="000000"/>
          <w:sz w:val="22"/>
          <w:szCs w:val="22"/>
        </w:rPr>
        <w:t xml:space="preserve"> means with respect to Party A, U.S. $25,000,000 and with respect to Party B, U.S. $5,000,000; provided, however, that (i) if a party has no Long-Term Debt Rating, or (ii) a Downgrading Event has occurred, or (iii) an Event of Default has occurred and is continuing with respect to such party, such party’s Threshold shall be $0.</w:t>
      </w:r>
    </w:p>
    <w:p>
      <w:pPr>
        <w:pStyle w:val="Normal"/>
        <w:ind w:start="720" w:end="0"/>
        <w:jc w:val="both"/>
        <w:rPr>
          <w:sz w:val="22"/>
        </w:rPr>
      </w:pPr>
      <w:r>
        <w:rPr>
          <w:sz w:val="22"/>
        </w:rPr>
      </w:r>
    </w:p>
    <w:p>
      <w:pPr>
        <w:pStyle w:val="Normal"/>
        <w:jc w:val="both"/>
        <w:rPr>
          <w:sz w:val="22"/>
        </w:rPr>
      </w:pPr>
      <w:r>
        <w:rPr>
          <w:sz w:val="22"/>
        </w:rPr>
        <w:t>3.</w:t>
        <w:tab/>
        <w:t>Except as amended hereby, all other terms and conditions of the Master Agreement shall remain the same and in full force and effect.</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agreement.</w:t>
      </w:r>
    </w:p>
    <w:p>
      <w:pPr>
        <w:pStyle w:val="Normal"/>
        <w:jc w:val="both"/>
        <w:rPr>
          <w:sz w:val="22"/>
        </w:rPr>
      </w:pPr>
      <w:r>
        <w:rPr>
          <w:sz w:val="22"/>
        </w:rPr>
      </w:r>
    </w:p>
    <w:p>
      <w:pPr>
        <w:pStyle w:val="Normal"/>
        <w:jc w:val="both"/>
        <w:rPr>
          <w:sz w:val="22"/>
        </w:rPr>
      </w:pPr>
      <w:r>
        <w:rPr>
          <w:sz w:val="22"/>
        </w:rPr>
        <w:tab/>
        <w:t>IN WITNESS WHEREOF, the parties hereto have caused this Amendment to be executed in multiple originals on July __, 2000.</w:t>
      </w:r>
    </w:p>
    <w:p>
      <w:pPr>
        <w:pStyle w:val="Normal"/>
        <w:jc w:val="both"/>
        <w:rPr>
          <w:sz w:val="22"/>
        </w:rPr>
      </w:pPr>
      <w:r>
        <w:rPr>
          <w:sz w:val="22"/>
        </w:rPr>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b/>
                <w:bCs/>
                <w:sz w:val="22"/>
              </w:rPr>
            </w:pPr>
            <w:r>
              <w:rPr>
                <w:b/>
                <w:bCs/>
                <w:sz w:val="22"/>
              </w:rPr>
              <w:t>ENRON CANADA CORP.</w:t>
            </w:r>
          </w:p>
          <w:p>
            <w:pPr>
              <w:pStyle w:val="Normal"/>
              <w:spacing w:lineRule="exact" w:line="240"/>
              <w:jc w:val="both"/>
              <w:rPr>
                <w:b/>
                <w:bCs/>
                <w:sz w:val="22"/>
              </w:rPr>
            </w:pPr>
            <w:r>
              <w:rPr>
                <w:b/>
                <w:bCs/>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Heading1"/>
              <w:ind w:hanging="0" w:start="0"/>
              <w:rPr/>
            </w:pPr>
            <w:r>
              <w:rPr/>
              <w:t>PETROCANADA</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6"/>
      </w:rPr>
      <w:t>O</w:t>
    </w:r>
    <w:r>
      <w:rPr>
        <w:sz w:val="12"/>
      </w:rPr>
      <w:fldChar w:fldCharType="begin"/>
    </w:r>
    <w:r>
      <w:rPr>
        <w:sz w:val="12"/>
      </w:rPr>
      <w:instrText xml:space="preserve"> FILENAME \p </w:instrText>
    </w:r>
    <w:r>
      <w:rPr>
        <w:sz w:val="12"/>
      </w:rPr>
      <w:fldChar w:fldCharType="separate"/>
    </w:r>
    <w:r>
      <w:rPr>
        <w:sz w:val="12"/>
      </w:rPr>
      <w:t>/mnt/main-storage/datasets/enron-docs/doc/amd045.DOC</w:t>
    </w:r>
    <w:r>
      <w:rPr>
        <w:sz w:val="12"/>
      </w:rPr>
      <w:fldChar w:fldCharType="end"/>
    </w:r>
  </w:p>
  <w:p>
    <w:pPr>
      <w:pStyle w:val="Normal"/>
      <w:ind w:end="-36"/>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exact" w:line="240"/>
      <w:jc w:val="both"/>
      <w:outlineLvl w:val="0"/>
    </w:pPr>
    <w:rPr>
      <w:b/>
      <w:bCs/>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2000-07-11T14:20:00Z</dcterms:created>
  <dc:creator>mheard</dc:creator>
  <dc:description/>
  <dc:language>en-CA</dc:language>
  <cp:lastModifiedBy>tjones</cp:lastModifiedBy>
  <cp:lastPrinted>2000-07-11T15:42:00Z</cp:lastPrinted>
  <dcterms:modified xsi:type="dcterms:W3CDTF">2000-07-11T19:29:00Z</dcterms:modified>
  <cp:revision>13</cp:revision>
  <dc:subject/>
  <dc:title>AMENDMENT TO MASTER AGREEMENT</dc:title>
</cp:coreProperties>
</file>