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t>General Principles and Beliefs</w:t>
      </w:r>
    </w:p>
    <w:p>
      <w:pPr>
        <w:pStyle w:val="Normal"/>
        <w:numPr>
          <w:ilvl w:val="0"/>
          <w:numId w:val="1"/>
        </w:numPr>
        <w:spacing w:before="120" w:after="0"/>
        <w:rPr/>
      </w:pPr>
      <w:r>
        <w:rPr/>
        <w:t xml:space="preserve">Market design issues, including workably competitive energy, ancillary services, capacity and reserve markets, must incorporate input from all market participants in an open and public process.  </w:t>
      </w:r>
    </w:p>
    <w:p>
      <w:pPr>
        <w:pStyle w:val="Normal"/>
        <w:numPr>
          <w:ilvl w:val="0"/>
          <w:numId w:val="1"/>
        </w:numPr>
        <w:spacing w:before="120" w:after="0"/>
        <w:rPr/>
      </w:pPr>
      <w:r>
        <w:rPr/>
        <w:t xml:space="preserve">When fully developed, robust forward markets for a variety of energy and reserve products will ensure that the right mix of generating units will be installed in the planning time frame.  </w:t>
      </w:r>
    </w:p>
    <w:p>
      <w:pPr>
        <w:pStyle w:val="Normal"/>
        <w:numPr>
          <w:ilvl w:val="0"/>
          <w:numId w:val="1"/>
        </w:numPr>
        <w:spacing w:before="120" w:after="0"/>
        <w:rPr/>
      </w:pPr>
      <w:r>
        <w:rPr/>
        <w:t xml:space="preserve">Market design must account for the interplay of various energy products (including reserves and ancillary services) and must ensure that adequate capacity is available when needed in the operational time frame.  </w:t>
      </w:r>
    </w:p>
    <w:p>
      <w:pPr>
        <w:pStyle w:val="Normal"/>
        <w:numPr>
          <w:ilvl w:val="0"/>
          <w:numId w:val="1"/>
        </w:numPr>
        <w:spacing w:before="120" w:after="0"/>
        <w:rPr/>
      </w:pPr>
      <w:r>
        <w:rPr/>
        <w:t>Market efficiency is enhanced if consumers see accurate prices for a variety of unbundled energy products and have the ability to react according to their preferences.  Demand-side participation is needed for well-functioning markets in energy, reserves, capacity and ancillary services.</w:t>
      </w:r>
    </w:p>
    <w:p>
      <w:pPr>
        <w:pStyle w:val="Normal"/>
        <w:numPr>
          <w:ilvl w:val="0"/>
          <w:numId w:val="1"/>
        </w:numPr>
        <w:spacing w:before="120" w:after="0"/>
        <w:rPr/>
      </w:pPr>
      <w:r>
        <w:rPr/>
        <w:t>Hurdles impeding the construction of new generation facilities must be minimized.  The shorter the lead time required to build new generation, the more stable will be the markets’ reliability year-over-year.</w:t>
      </w:r>
    </w:p>
    <w:p>
      <w:pPr>
        <w:pStyle w:val="Normal"/>
        <w:spacing w:before="120" w:after="0"/>
        <w:rPr/>
      </w:pPr>
      <w:r>
        <w:rPr/>
      </w:r>
    </w:p>
    <w:p>
      <w:pPr>
        <w:pStyle w:val="Header"/>
        <w:tabs>
          <w:tab w:val="clear" w:pos="4320"/>
          <w:tab w:val="clear" w:pos="8640"/>
        </w:tabs>
        <w:spacing w:before="120" w:after="0"/>
        <w:rPr/>
      </w:pPr>
      <w:r>
        <w:rPr/>
        <w:t xml:space="preserve">Reliability </w:t>
      </w:r>
    </w:p>
    <w:p>
      <w:pPr>
        <w:pStyle w:val="Normal"/>
        <w:numPr>
          <w:ilvl w:val="0"/>
          <w:numId w:val="1"/>
        </w:numPr>
        <w:spacing w:before="120" w:after="0"/>
        <w:rPr/>
      </w:pPr>
      <w:r>
        <w:rPr/>
        <w:t xml:space="preserve">A liquid, efficient energy market will ensure that enough generating and transmission capacity will be installed to meet demand </w:t>
      </w:r>
      <w:r>
        <w:rPr>
          <w:i/>
        </w:rPr>
        <w:t>over the long term</w:t>
      </w:r>
      <w:r>
        <w:rPr/>
        <w:t xml:space="preserve">.  This is less likely to be true on a year-by-year basis, especially in markets with extraordinary supply uncertainty and significant hurdles to entry.  </w:t>
      </w:r>
    </w:p>
    <w:p>
      <w:pPr>
        <w:pStyle w:val="Normal"/>
        <w:numPr>
          <w:ilvl w:val="0"/>
          <w:numId w:val="1"/>
        </w:numPr>
        <w:spacing w:before="120" w:after="0"/>
        <w:rPr/>
      </w:pPr>
      <w:r>
        <w:rPr/>
        <w:t xml:space="preserve">Until all of the prerequisites for stable market-driven reliability are in place, an administratively-determined mandatory reserve requirement can serve to ensure that adequate capacity is available to meet reliability needs within politically acceptable limits of price volatility.  </w:t>
      </w:r>
    </w:p>
    <w:p>
      <w:pPr>
        <w:pStyle w:val="Normal"/>
        <w:numPr>
          <w:ilvl w:val="0"/>
          <w:numId w:val="1"/>
        </w:numPr>
        <w:spacing w:before="120" w:after="0"/>
        <w:rPr/>
      </w:pPr>
      <w:r>
        <w:rPr/>
        <w:t xml:space="preserve">A mandated reserve requirement should be tied to specific reliability criteria for that system, such as a one-day-in-ten-years Loss of Load Probability criterion.  </w:t>
      </w:r>
    </w:p>
    <w:p>
      <w:pPr>
        <w:pStyle w:val="Header"/>
        <w:tabs>
          <w:tab w:val="clear" w:pos="4320"/>
          <w:tab w:val="clear" w:pos="8640"/>
        </w:tabs>
        <w:spacing w:before="120" w:after="0"/>
        <w:rPr/>
      </w:pPr>
      <w:r>
        <w:rPr/>
      </w:r>
    </w:p>
    <w:p>
      <w:pPr>
        <w:pStyle w:val="Header"/>
        <w:tabs>
          <w:tab w:val="clear" w:pos="4320"/>
          <w:tab w:val="clear" w:pos="8640"/>
        </w:tabs>
        <w:spacing w:before="120" w:after="0"/>
        <w:rPr/>
      </w:pPr>
      <w:r>
        <w:rPr/>
        <w:t>Implementation Issues</w:t>
      </w:r>
    </w:p>
    <w:p>
      <w:pPr>
        <w:pStyle w:val="Normal"/>
        <w:numPr>
          <w:ilvl w:val="0"/>
          <w:numId w:val="1"/>
        </w:numPr>
        <w:spacing w:before="120" w:after="0"/>
        <w:rPr/>
      </w:pPr>
      <w:r>
        <w:rPr/>
        <w:t>Capacity markets must present a level playing field between existing and new market entrants, so as to avoid posing a barrier to entry for new LSEs.</w:t>
      </w:r>
    </w:p>
    <w:p>
      <w:pPr>
        <w:pStyle w:val="Normal"/>
        <w:numPr>
          <w:ilvl w:val="0"/>
          <w:numId w:val="1"/>
        </w:numPr>
        <w:spacing w:before="120" w:after="0"/>
        <w:rPr/>
      </w:pPr>
      <w:r>
        <w:rPr/>
        <w:t xml:space="preserve">Load serving entities (LSEs) should be encouraged to efficiently manage risk on behalf of their customers.  Well-designed products offered by load aggregators should allow consumers to procure a level of reliability appropriate for their needs and preferences.  LSEs should be able to reflect these aggregated preferences in their capacity purchase requirements. </w:t>
      </w:r>
    </w:p>
    <w:p>
      <w:pPr>
        <w:pStyle w:val="Normal"/>
        <w:numPr>
          <w:ilvl w:val="0"/>
          <w:numId w:val="1"/>
        </w:numPr>
        <w:spacing w:before="120" w:after="0"/>
        <w:rPr/>
      </w:pPr>
      <w:r>
        <w:rPr/>
        <w:t xml:space="preserve">Compensation for suppliers of capacity should be developed through market means.  This can be accomplished through a well-designed Installed Capacity (ICAP) market, a separate capacity market, imbalance trading or call options.  </w:t>
      </w:r>
    </w:p>
    <w:p>
      <w:pPr>
        <w:pStyle w:val="Normal"/>
        <w:numPr>
          <w:ilvl w:val="0"/>
          <w:numId w:val="1"/>
        </w:numPr>
        <w:spacing w:before="120" w:after="0"/>
        <w:rPr/>
      </w:pPr>
      <w:r>
        <w:rPr/>
        <w:t xml:space="preserve">Capacity requirements must be stated with some locational specificity, but the specific transmission situation that requires the specificity should be known.  Robust, transparent locational energy pricing enhances the ability for markets to resolve locational differences economically, and encourages the proper location of capacity.  In the long-term, this will enhance reliability and reduce the need for exogenous locational capacity requirements.  </w:t>
      </w:r>
    </w:p>
    <w:p>
      <w:pPr>
        <w:pStyle w:val="Normal"/>
        <w:numPr>
          <w:ilvl w:val="0"/>
          <w:numId w:val="1"/>
        </w:numPr>
        <w:spacing w:before="120" w:after="0"/>
        <w:rPr/>
      </w:pPr>
      <w:r>
        <w:rPr/>
        <w:t xml:space="preserve">As markets mature, the reliability criteria can be reduced over time to allow market forces to attempt to resolve to an economic dynamically stable reliability level. </w:t>
      </w:r>
    </w:p>
    <w:p>
      <w:pPr>
        <w:pStyle w:val="Normal"/>
        <w:spacing w:before="120" w:after="0"/>
        <w:rPr/>
      </w:pPr>
      <w:r>
        <w:rPr/>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8"/>
      </w:rPr>
    </w:pPr>
    <w:r>
      <w:rPr>
        <w:b/>
        <w:sz w:val="28"/>
      </w:rPr>
      <w:t>ALTERNATIVE DRAFT OF BULLETS – June 6,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2001-06-06T13:56:00Z</dcterms:created>
  <dc:creator>julie simon</dc:creator>
  <dc:description/>
  <dc:language>en-CA</dc:language>
  <cp:lastModifiedBy>julie simon</cp:lastModifiedBy>
  <dcterms:modified xsi:type="dcterms:W3CDTF">2001-06-06T13:58:00Z</dcterms:modified>
  <cp:revision>2</cp:revision>
  <dc:subject/>
  <dc:title>General Principles and Beliefs</dc:title>
</cp:coreProperties>
</file>