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Pr>
          <w:rFonts w:cs="Times New Roman" w:ascii="Times New Roman" w:hAnsi="Times New Roman"/>
        </w:rPr>
        <w:t>Alliance of Energy Suppliers Express—November 7, 2000</w:t>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Pr>
          <w:rFonts w:cs="Times New Roman" w:ascii="Times New Roman" w:hAnsi="Times New Roman"/>
        </w:rPr>
      </w:r>
    </w:p>
    <w:p>
      <w:pPr>
        <w:pStyle w:val="Heading2"/>
        <w:ind w:hanging="0" w:start="0"/>
        <w:rPr/>
      </w:pPr>
      <w:r>
        <w:rPr/>
        <w:t>INSIDE WASHINGTON</w:t>
      </w:r>
    </w:p>
    <w:p>
      <w:pPr>
        <w:pStyle w:val="Normal"/>
        <w:rPr/>
      </w:pPr>
      <w:r>
        <w:rPr/>
      </w:r>
    </w:p>
    <w:p>
      <w:pPr>
        <w:pStyle w:val="Normal"/>
        <w:rPr/>
      </w:pPr>
      <w:r>
        <w:rPr/>
        <w:t xml:space="preserve">The Week Ahead. . .  </w:t>
      </w:r>
    </w:p>
    <w:p>
      <w:pPr>
        <w:pStyle w:val="Normal"/>
        <w:rPr/>
      </w:pPr>
      <w:r>
        <w:rPr/>
      </w:r>
    </w:p>
    <w:p>
      <w:pPr>
        <w:pStyle w:val="Normal"/>
        <w:rPr/>
      </w:pPr>
      <w:r>
        <w:rPr/>
        <w:t>***FERC holds a public conference to discuss proposed remedies to address California market issues on</w:t>
      </w:r>
    </w:p>
    <w:p>
      <w:pPr>
        <w:pStyle w:val="Normal"/>
        <w:rPr/>
      </w:pPr>
      <w:r>
        <w:rPr/>
        <w:t>Thursday, Nov 9.  FERC's regular meeting is tomorrow morning.</w:t>
      </w:r>
    </w:p>
    <w:p>
      <w:pPr>
        <w:pStyle w:val="Normal"/>
        <w:rPr/>
      </w:pPr>
      <w:r>
        <w:rPr/>
      </w:r>
    </w:p>
    <w:p>
      <w:pPr>
        <w:pStyle w:val="Heading2"/>
        <w:ind w:hanging="0" w:start="0"/>
        <w:rPr/>
      </w:pPr>
      <w:r>
        <w:rPr/>
        <w:t>FEDERAL AFFAIRS</w:t>
      </w:r>
    </w:p>
    <w:p>
      <w:pPr>
        <w:pStyle w:val="Normal"/>
        <w:rPr/>
      </w:pPr>
      <w:r>
        <w:rPr/>
      </w:r>
    </w:p>
    <w:p>
      <w:pPr>
        <w:pStyle w:val="Normal"/>
        <w:rPr/>
      </w:pPr>
      <w:r>
        <w:rPr/>
        <w:t>***Commission Proposes to Remedy “Serious Flaws” in Structure of California Wholesale Markets***</w:t>
      </w:r>
    </w:p>
    <w:p>
      <w:pPr>
        <w:pStyle w:val="Normal"/>
        <w:rPr/>
      </w:pPr>
      <w:r>
        <w:rPr/>
      </w:r>
    </w:p>
    <w:p>
      <w:pPr>
        <w:pStyle w:val="Normal"/>
        <w:rPr/>
      </w:pPr>
      <w:r>
        <w:rPr/>
        <w:t xml:space="preserve">FERC last week proposed a series of actions to remedy what it termed “serious flaws” in the structure of wholesale electricity markets in California, after receiving a staff report on the past summer’s pricing crisis in the state.  The report pointed to tight supply and demand conditions throughout the West, with emergency conditions concentrated in California.  The staff reported uncovering no suggestion of “substantial or sustained attempts to manipulate prices in these markets.” </w:t>
      </w:r>
    </w:p>
    <w:p>
      <w:pPr>
        <w:pStyle w:val="Normal"/>
        <w:rPr/>
      </w:pPr>
      <w:r>
        <w:rPr/>
      </w:r>
    </w:p>
    <w:p>
      <w:pPr>
        <w:pStyle w:val="Normal"/>
        <w:rPr/>
      </w:pPr>
      <w:r>
        <w:rPr/>
        <w:t>The Commission’s proposals included modifications to the market rules of the California independent system operator (ISO) and power exchange (PX) to provide more flexibility for market participants to manage risks and broaden their opportunities to buy and sell power.  However, the federal regulators cautioned that unless the state comes to grips with inadequate generation and transmission resources, and the development of demand side responses, its consumers will pay higher prices for electricity than do those in neighboring areas.</w:t>
      </w:r>
    </w:p>
    <w:p>
      <w:pPr>
        <w:pStyle w:val="Normal"/>
        <w:rPr/>
      </w:pPr>
      <w:r>
        <w:rPr/>
      </w:r>
    </w:p>
    <w:p>
      <w:pPr>
        <w:pStyle w:val="Normal"/>
        <w:rPr/>
      </w:pPr>
      <w:r>
        <w:rPr/>
        <w:t>The consequences of the California situation were not limited to the state itself, emphasized FERC Chairman James Hoecker.  “Competition itself is at risk, make no mistake about that,” he said, pointing out that several states have rethought or shelved restructuring plans in the wake of the summer’s woes.  And, he suggested, the 107th Congress, which gets under way in January, “may again balk at the idea of competitive markets and reliability reform” in light of recent events.</w:t>
      </w:r>
    </w:p>
    <w:p>
      <w:pPr>
        <w:pStyle w:val="Normal"/>
        <w:rPr/>
      </w:pPr>
      <w:r>
        <w:rPr/>
      </w:r>
    </w:p>
    <w:p>
      <w:pPr>
        <w:pStyle w:val="Normal"/>
        <w:rPr/>
      </w:pPr>
      <w:r>
        <w:rPr/>
        <w:t xml:space="preserve">EEI applauded the Commission’s recognition of, and attention to, the structural flaws in California market design.  The Institute praised the flexibility the proposal accords companies to buy power from sources other than the PX, pointing out that this has favorable implications on the risk and price fronts.  The association also supported FERC’s recognition of the lack of adequate generation and transmission in California, and its willingness to work with state authorities to facilitate siting and construction of such facilities.  Finally, EEI underscored that price caps are a temporary measure, and emphasized the importance of appropriate price signals to properly-functioning markets.      </w:t>
      </w:r>
    </w:p>
    <w:p>
      <w:pPr>
        <w:pStyle w:val="Normal"/>
        <w:rPr/>
      </w:pPr>
      <w:r>
        <w:rPr/>
      </w:r>
    </w:p>
    <w:p>
      <w:pPr>
        <w:pStyle w:val="Normal"/>
        <w:rPr/>
      </w:pPr>
      <w:r>
        <w:rPr/>
        <w:t>***Administration Will Offer A Proposal on Reliability, Secretary Richardson Says***</w:t>
      </w:r>
    </w:p>
    <w:p>
      <w:pPr>
        <w:pStyle w:val="Normal"/>
        <w:rPr/>
      </w:pPr>
      <w:r>
        <w:rPr/>
      </w:r>
    </w:p>
    <w:p>
      <w:pPr>
        <w:pStyle w:val="BodyText"/>
        <w:rPr>
          <w:sz w:val="20"/>
        </w:rPr>
      </w:pPr>
      <w:r>
        <w:rPr>
          <w:sz w:val="20"/>
        </w:rPr>
        <w:t>The Administration will send FERC a proposed rule for the establishment of mandatory electric reliability standards, Energy Secretary Bill Richardson announced last week, in an effort to “do administratively what Congress failed to accomplish this year.”  The Secretary broached the reliability effort, along with multiple initiatives to address electricity-related problems that have beset California, during a speech at what was termed the “California Electricity Event” in Sacramento.</w:t>
      </w:r>
    </w:p>
    <w:p>
      <w:pPr>
        <w:pStyle w:val="Normal"/>
        <w:rPr>
          <w:sz w:val="20"/>
        </w:rPr>
      </w:pPr>
      <w:r>
        <w:rPr>
          <w:sz w:val="20"/>
        </w:rPr>
      </w:r>
    </w:p>
    <w:p>
      <w:pPr>
        <w:pStyle w:val="Normal"/>
        <w:rPr/>
      </w:pPr>
      <w:r>
        <w:rPr/>
        <w:t>“</w:t>
      </w:r>
      <w:r>
        <w:rPr/>
        <w:t xml:space="preserve">We’re coming here today because California’s electric market has become dysfunctional,” Mr. Richardson stated, reviewing a roster of recent power supply and pricing problems.  “It’s not our job to interfere with markets,” he remarked.  “But sometimes, when those markets are broken, we can work together to make a difference.  This is one of those times.”      </w:t>
      </w:r>
    </w:p>
    <w:p>
      <w:pPr>
        <w:pStyle w:val="Normal"/>
        <w:rPr/>
      </w:pPr>
      <w:r>
        <w:rPr/>
      </w:r>
    </w:p>
    <w:p>
      <w:pPr>
        <w:pStyle w:val="Normal"/>
        <w:rPr/>
      </w:pPr>
      <w:r>
        <w:rPr/>
        <w:t>Secretary Richardson offered no further detail on plans for proceeding in the reliability area.  Events in California and elsewhere have spotlighted the issue, and the Senate cleared a reliability-focused bill, S 2071, this summer after encountering immovable obstacles to progress on a comprehensive restructuring bill.  The measure has been held at the desk in the House, but has not been taken up on the floor.</w:t>
      </w:r>
    </w:p>
    <w:p>
      <w:pPr>
        <w:pStyle w:val="Normal"/>
        <w:rPr/>
      </w:pPr>
      <w:r>
        <w:rPr/>
      </w:r>
    </w:p>
    <w:p>
      <w:pPr>
        <w:pStyle w:val="Normal"/>
        <w:rPr/>
      </w:pPr>
      <w:r>
        <w:rPr/>
        <w:t>***Institute Seeks Withdrawal Of EPA Proposal to Limit Protection of Business Info***</w:t>
      </w:r>
    </w:p>
    <w:p>
      <w:pPr>
        <w:pStyle w:val="Normal"/>
        <w:rPr/>
      </w:pPr>
      <w:r>
        <w:rPr/>
      </w:r>
    </w:p>
    <w:p>
      <w:pPr>
        <w:pStyle w:val="Normal"/>
        <w:rPr/>
      </w:pPr>
      <w:r>
        <w:rPr/>
        <w:t xml:space="preserve">EPA's recent proposal to eliminate categorical confidentiality of business information received by the agency would "directly and negatively effect EEI members," the Institute asserted.  The proposed change would subject companies to the public release of material they submit to substantiate the confidential status of business information filed at the agency.  EEI accordingly requested the withdrawal of the proposal, contending that EPA’s current practice under the Freedom of Information Act (FOIA) best protect confidential business information.  The Institute, and several other associations and companies, initially commented on the matter earlier this year.  </w:t>
      </w:r>
    </w:p>
    <w:p>
      <w:pPr>
        <w:pStyle w:val="Normal"/>
        <w:rPr/>
      </w:pPr>
      <w:r>
        <w:rPr/>
      </w:r>
    </w:p>
    <w:p>
      <w:pPr>
        <w:pStyle w:val="Normal"/>
        <w:rPr/>
      </w:pPr>
      <w:r>
        <w:rPr/>
        <w:t xml:space="preserve">In the comments, EEI noted that member companies submit “large volumes of information to EPA, including highly sensitive information about company operations and finances.”  The release of such information could allow competitors and suppliers to adjust their own prices and sales practices, the Institute pointed out.  EEI commented that Congress itself has long recognized the potential for competitive harm in the disclosure of private information held by government agencies.  As a result of those concerns, lawmakers included in the FOIA rule a number of exemptions from disclosure for various types of sensitive information, including confidential business information.  </w:t>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Pr>
          <w:rFonts w:cs="Times New Roman" w:ascii="Times New Roman" w:hAnsi="Times New Roman"/>
        </w:rPr>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u w:val="single"/>
        </w:rPr>
      </w:pPr>
      <w:r>
        <w:rPr>
          <w:rFonts w:cs="Times New Roman" w:ascii="Times New Roman" w:hAnsi="Times New Roman"/>
          <w:u w:val="single"/>
        </w:rPr>
        <w:t>MERGERS &amp; ACQUISITIONS</w:t>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u w:val="single"/>
        </w:rPr>
      </w:pPr>
      <w:r>
        <w:rPr>
          <w:rFonts w:cs="Times New Roman" w:ascii="Times New Roman" w:hAnsi="Times New Roman"/>
          <w:u w:val="single"/>
        </w:rPr>
      </w:r>
    </w:p>
    <w:p>
      <w:pPr>
        <w:pStyle w:val="Normal"/>
        <w:rPr/>
      </w:pPr>
      <w:r>
        <w:rPr/>
        <w:t xml:space="preserve">***NiSource Inc. announced that the merger with Columbia Energy Group has been finalized.  The combined companies are trading as NiSource on the New York Stock Exchange.  The merger establishes the largest US natural gas distributor east of the Rocky Mountains.  NiSource distribution companies will serve 3.6 million gas and electric customers in primarily nine states.  </w:t>
      </w:r>
    </w:p>
    <w:p>
      <w:pPr>
        <w:pStyle w:val="Normal"/>
        <w:rPr/>
      </w:pPr>
      <w:r>
        <w:rPr/>
      </w:r>
    </w:p>
    <w:p>
      <w:pPr>
        <w:pStyle w:val="Normal"/>
        <w:rPr/>
      </w:pPr>
      <w:r>
        <w:rPr/>
        <w:t>"We are extremely pleased to have received SEC approval just eight months after announcing our $6 billion transaction to create a super-regional energy powerhouse stretching from the Gulf of Mexico to Chicago and New England,'' said Gary Neale, NiSource chairman, president and chief executive officer. "This is record time in the energy industry, where mergers can take years. The fast track of approval is a testament to hard work on both sides of the regulatory table at the state and federal levels, as well as exceptional teamwork among Columbia and NiSource employees.''</w:t>
      </w:r>
    </w:p>
    <w:p>
      <w:pPr>
        <w:pStyle w:val="Normal"/>
        <w:rPr/>
      </w:pPr>
      <w:r>
        <w:rPr/>
      </w:r>
    </w:p>
    <w:p>
      <w:pPr>
        <w:pStyle w:val="Normal"/>
        <w:rPr/>
      </w:pPr>
      <w:r>
        <w:rPr/>
        <w:t xml:space="preserve">***PECO Energy and Unicom have announced the completion of their merger, creating one of the largest electricity companies with five million customers and more than $12 million in annual revenues.  The $7.8 billion deal gives the new company control of 20 percent of the nation’s nuclear generating capacity.  The merged company's new name is Exelon.  </w:t>
      </w:r>
    </w:p>
    <w:p>
      <w:pPr>
        <w:pStyle w:val="Normal"/>
        <w:rPr/>
      </w:pPr>
      <w:r>
        <w:rPr/>
      </w:r>
    </w:p>
    <w:p>
      <w:pPr>
        <w:pStyle w:val="Normal"/>
        <w:rPr/>
      </w:pPr>
      <w:r>
        <w:rPr/>
        <w:t>Exelon’s three business segments will contribute to its growth, according to John Rowe, Exelon’s President and co-CEO. Exelon Generation will build growth through a nationwide network and strong positions in the Midwest and Mid-Atlantic, while Exelon Energy Delivery will provide a strong foundation of earnings and cash flow through its electric and gas distribution. Exelon Enterprises has the potential to contribute substantial growth as it continues to build its energy, infrastructure services, energy service and telecommunications businesses, said the company.</w:t>
      </w:r>
    </w:p>
    <w:p>
      <w:pPr>
        <w:pStyle w:val="Normal"/>
        <w:rPr/>
      </w:pPr>
      <w:r>
        <w:rPr/>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u w:val="single"/>
        </w:rPr>
      </w:pPr>
      <w:r>
        <w:rPr>
          <w:rFonts w:cs="Times New Roman" w:ascii="Times New Roman" w:hAnsi="Times New Roman"/>
        </w:rPr>
        <w:t>According to Corbin McNeill Jr., who was named Exelon Chairman and co-CEO, as a result of the merger, “customers will gain the benefits of our combined resources and best practices, employees will have greater opportunities for career growth and shareholders will be invested in an industry leader.”  Mr. McNeill added, “Deregulation is creating unprecedented opportunities for power generators.  The winners in this new landscape will be merchants that best meet the needs of the customer, and after years of building our generation capabilities at both PECO Energy and Unicom, we believe Exelon will be extraordinarily well-positioned to become a merchant of choice.”</w:t>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u w:val="single"/>
        </w:rPr>
      </w:pPr>
      <w:r>
        <w:rPr>
          <w:rFonts w:cs="Times New Roman" w:ascii="Times New Roman" w:hAnsi="Times New Roman"/>
          <w:u w:val="single"/>
        </w:rPr>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u w:val="single"/>
        </w:rPr>
      </w:pPr>
      <w:r>
        <w:rPr>
          <w:rFonts w:cs="Times New Roman" w:ascii="Times New Roman" w:hAnsi="Times New Roman"/>
          <w:u w:val="single"/>
        </w:rPr>
        <w:t>ENVIRONMENT</w:t>
      </w:r>
    </w:p>
    <w:p>
      <w:pPr>
        <w:pStyle w:val="Normal"/>
        <w:rPr>
          <w:rFonts w:ascii="Times New Roman" w:hAnsi="Times New Roman" w:cs="Times New Roman"/>
          <w:u w:val="single"/>
        </w:rPr>
      </w:pPr>
      <w:r>
        <w:rPr>
          <w:rFonts w:cs="Times New Roman"/>
          <w:u w:val="single"/>
        </w:rPr>
      </w:r>
    </w:p>
    <w:p>
      <w:pPr>
        <w:pStyle w:val="Normal"/>
        <w:rPr/>
      </w:pPr>
      <w:r>
        <w:rPr/>
        <w:t xml:space="preserve">***American Electric Power and TXU Electric &amp; Gas have jointly announced a new 130-megawatt wind power project.  AEP plans to begin construction of the 87 wind turbines in November on a West Texas site, and the company will develop, own, operate and maintain the project.  TXU's contract to buy this power makes it a leader in wind power purchasing, announced the company.  Included in this deal are contracts to purchase more than 1.3 billion kilowatthours of renewable energy annually from several wind farms in West Texas.  The company estimates that the wind power from these agreements would power approximately 75,000 homes.   </w:t>
      </w:r>
    </w:p>
    <w:p>
      <w:pPr>
        <w:pStyle w:val="Normal"/>
        <w:rPr/>
      </w:pPr>
      <w:r>
        <w:rPr/>
      </w:r>
    </w:p>
    <w:p>
      <w:pPr>
        <w:pStyle w:val="Normal"/>
        <w:rPr/>
      </w:pPr>
      <w:r>
        <w:rPr/>
        <w:t>"TXU Electric &amp; Gas is a national leader in supporting wind power," said Steve Philley, who directed the project while vice president of TXU Electric Energy Supply.  Dwayne Hart, AEP Energy Services Vice President of Business Development and Strategy, noted AEP believes that wind power has become more commercially viable in today's market.  "We see exciting opportunities in North America as natural gas prices continue to remain volatile."</w:t>
      </w:r>
    </w:p>
    <w:p>
      <w:pPr>
        <w:pStyle w:val="Normal"/>
        <w:rPr/>
      </w:pPr>
      <w:r>
        <w:rPr/>
      </w:r>
    </w:p>
    <w:p>
      <w:pPr>
        <w:pStyle w:val="Normal"/>
        <w:rPr/>
      </w:pPr>
      <w:r>
        <w:rPr/>
        <w:t>AEP has established a special Web site for the project at www.trentmesa.com.</w:t>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Pr>
          <w:rFonts w:cs="Times New Roman" w:ascii="Times New Roman" w:hAnsi="Times New Roman"/>
        </w:rPr>
      </w:r>
    </w:p>
    <w:p>
      <w:pPr>
        <w:pStyle w:val="Heading2"/>
        <w:ind w:hanging="0" w:start="0"/>
        <w:rPr/>
      </w:pPr>
      <w:r>
        <w:rPr/>
        <w:t>ENERGY DATA</w:t>
      </w:r>
    </w:p>
    <w:p>
      <w:pPr>
        <w:pStyle w:val="Normal"/>
        <w:rPr>
          <w:u w:val="single"/>
        </w:rPr>
      </w:pPr>
      <w:r>
        <w:rPr>
          <w:u w:val="single"/>
        </w:rPr>
      </w:r>
    </w:p>
    <w:p>
      <w:pPr>
        <w:pStyle w:val="Normal"/>
        <w:rPr/>
      </w:pPr>
      <w:r>
        <w:rPr/>
        <w:t>*** Weekly Electric Output (Week 44)***</w:t>
      </w:r>
    </w:p>
    <w:p>
      <w:pPr>
        <w:pStyle w:val="Normal"/>
        <w:rPr/>
      </w:pPr>
      <w:r>
        <w:rPr/>
        <w:t xml:space="preserve"> </w:t>
      </w:r>
    </w:p>
    <w:p>
      <w:pPr>
        <w:pStyle w:val="Normal"/>
        <w:rPr/>
      </w:pPr>
      <w:r>
        <w:rPr/>
        <w:t>Electric output reached 64,563 GWh for the week ending October 28 (Week 44), with the highest increase over 1999 levels in the South Central region, which had a 10.6 percent increase over 1999.  Looking at year-to-date information, the Pacific Southeast leads the nation in growth of output.  For more information, email alliance@eei.org.</w:t>
      </w:r>
    </w:p>
    <w:p>
      <w:pPr>
        <w:pStyle w:val="Normal"/>
        <w:rPr/>
      </w:pPr>
      <w:r>
        <w:rPr/>
      </w:r>
    </w:p>
    <w:p>
      <w:pPr>
        <w:pStyle w:val="Heading2"/>
        <w:ind w:hanging="0" w:start="0"/>
        <w:rPr/>
      </w:pPr>
      <w:r>
        <w:rPr/>
        <w:t xml:space="preserve">FROM EEI </w:t>
      </w:r>
    </w:p>
    <w:p>
      <w:pPr>
        <w:pStyle w:val="Normal"/>
        <w:rPr/>
      </w:pPr>
      <w:r>
        <w:rPr/>
      </w:r>
    </w:p>
    <w:p>
      <w:pPr>
        <w:pStyle w:val="Normal"/>
        <w:rPr/>
      </w:pPr>
      <w:r>
        <w:rPr/>
        <w:t>***EEI Webcasts Financial Conference Member Company Presentations***</w:t>
      </w:r>
    </w:p>
    <w:p>
      <w:pPr>
        <w:pStyle w:val="Normal"/>
        <w:rPr/>
      </w:pPr>
      <w:r>
        <w:rPr/>
      </w:r>
    </w:p>
    <w:p>
      <w:pPr>
        <w:pStyle w:val="Normal"/>
        <w:rPr/>
      </w:pPr>
      <w:r>
        <w:rPr/>
        <w:t xml:space="preserve">The Institute has announced the availability through the Internet of formal presentations by member companies at last week’s Financial Conference in San Francisco.  The annual conference provides a forum for utility representatives, analysts, and other members of the investment community to meet in a common area for information exchange on industry issues and competitive strategies. </w:t>
      </w:r>
    </w:p>
    <w:p>
      <w:pPr>
        <w:pStyle w:val="Normal"/>
        <w:rPr/>
      </w:pPr>
      <w:r>
        <w:rPr/>
      </w:r>
    </w:p>
    <w:p>
      <w:pPr>
        <w:pStyle w:val="Normal"/>
        <w:rPr/>
      </w:pPr>
      <w:r>
        <w:rPr/>
        <w:t xml:space="preserve">The theme of this year’s conference, "Letting the Outside In," emphasized the necessity of looking at successful corporate cultures outside of the utility arena to get ideas on how to best respond to change.  Armando Pena, treasurer of American Electric Power, observed that "letting the outside in allows us to view ourselves in a different perspective."  Speakers at the event included representatives from all types of businesses -- from General Electric to Yahoo! -- providing their perspectives on change.  </w:t>
      </w:r>
    </w:p>
    <w:p>
      <w:pPr>
        <w:pStyle w:val="Normal"/>
        <w:rPr/>
      </w:pPr>
      <w:r>
        <w:rPr/>
      </w:r>
    </w:p>
    <w:p>
      <w:pPr>
        <w:pStyle w:val="Normal"/>
        <w:rPr/>
      </w:pPr>
      <w:r>
        <w:rPr/>
        <w:t xml:space="preserve">According to Thomas Schimelpfenig, EEI’s Director of Business Services and Finance, webcasting represents a new initiative on the part of member companies, using technology to help broadcast information much more widely than ever before. "We are hopeful that many investors and potential investors will take advantage of this unique opportunity to learn more about electric utilities, one of the best performing financial sectors this year," Mr. Schimelpfenig said. </w:t>
      </w:r>
    </w:p>
    <w:p>
      <w:pPr>
        <w:pStyle w:val="Normal"/>
        <w:rPr/>
      </w:pPr>
      <w:r>
        <w:rPr/>
      </w:r>
    </w:p>
    <w:p>
      <w:pPr>
        <w:pStyle w:val="Normal"/>
        <w:rPr/>
      </w:pPr>
      <w:r>
        <w:rPr/>
        <w:t xml:space="preserve">Eighteen member companies participated in the formal presentations at the conference, and are available via webcast.  The webcasts were aired live from the conference in real time, and are available until November 9 on EEI's web site at www.eei.org/resources/meetings/001029.htm. To review the archived broadcasts, Windows 98 or higher is required as well as Media Player 6.4 or 7.  </w:t>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Pr>
          <w:rFonts w:cs="Times New Roman" w:ascii="Times New Roman" w:hAnsi="Times New Roman"/>
        </w:rPr>
      </w:r>
    </w:p>
    <w:p>
      <w:pPr>
        <w:pStyle w:val="Normal"/>
        <w:rPr/>
      </w:pPr>
      <w:r>
        <w:rPr/>
        <w:t>***E-Forum---Will California's Restructuring Tremors Be Felt in Your Region?***</w:t>
      </w:r>
    </w:p>
    <w:p>
      <w:pPr>
        <w:pStyle w:val="Normal"/>
        <w:rPr/>
      </w:pPr>
      <w:r>
        <w:rPr/>
      </w:r>
    </w:p>
    <w:p>
      <w:pPr>
        <w:pStyle w:val="Normal"/>
        <w:rPr/>
      </w:pPr>
      <w:r>
        <w:rPr/>
        <w:t>EEI's State Restructuring Service is proud to present an Internet E-Forum to investigate whether the problems of California could occur in other parts of the country.  The California "restructuring earthquake" is marked by the doubling of some electric bills, multi-billion dollar utility under collections, electric reserve margin problems, and consumer outrage.  While these problems are the result of numerous factors, some may be replicated in other parts of the country.  This E-Forum will look at six regions of the county to see if the same "tremors" will be felt in those regions and if not, why not.  The distinguished speakers are: Dr. John Jurewitz, Dir, Regulatory Policy, SoCal Edison; Mike McCall, VP, Regulatory Affairs, TXU; David Pratzon, Consultant, Exelon Power Team; Corun Gagatsis, Sr Regulatory Strategist, Detroit Edison; Gary Simon, Sr VP, Enterprise, Development and Analysis, NU; and William L. Jaeger, Chief Eng., Transmission Planning, ConEd.</w:t>
      </w:r>
    </w:p>
    <w:p>
      <w:pPr>
        <w:pStyle w:val="Normal"/>
        <w:rPr/>
      </w:pPr>
      <w:r>
        <w:rPr/>
      </w:r>
    </w:p>
    <w:p>
      <w:pPr>
        <w:pStyle w:val="Normal"/>
        <w:rPr/>
      </w:pPr>
      <w:r>
        <w:rPr/>
        <w:t>The guest moderator is Chuck Gray, Executive Director of the National Association of Regulatory Utility Commissioners.</w:t>
      </w:r>
    </w:p>
    <w:p>
      <w:pPr>
        <w:pStyle w:val="Normal"/>
        <w:rPr/>
      </w:pPr>
      <w:r>
        <w:rPr/>
        <w:t>Dr. John H. Landon, Principal, Direct Energy Practice, Analysis Group/Economics will provide commentary.</w:t>
      </w:r>
    </w:p>
    <w:p>
      <w:pPr>
        <w:pStyle w:val="Normal"/>
        <w:rPr/>
      </w:pPr>
      <w:r>
        <w:rPr/>
      </w:r>
    </w:p>
    <w:p>
      <w:pPr>
        <w:pStyle w:val="Normal"/>
        <w:rPr/>
      </w:pPr>
      <w:r>
        <w:rPr/>
        <w:t>The session will be held next Friday, November 17, 2000, at 1 p.m. ET. For additional information, please see EEI's Web site at www.eei.org/resources/meetings/forums/001117.htm, or contact Mike Oldak at moldak@eei.org.</w:t>
      </w:r>
    </w:p>
    <w:p>
      <w:pPr>
        <w:pStyle w:val="BodyText2"/>
        <w:rPr/>
      </w:pPr>
      <w:r>
        <w:rPr/>
        <w:t>The Alliance Express is a free news service sponsored by the Alliance of Energy Suppliers.  This document can be redistributed.  Please send questions, comments, or requests to alliance@eei.org, or telephone 202/508-5680.</w:t>
      </w:r>
    </w:p>
    <w:sectPr>
      <w:type w:val="nextPage"/>
      <w:pgSz w:w="12240" w:h="15840"/>
      <w:pgMar w:left="1008" w:right="1008"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caps/>
      <w:sz w:val="24"/>
      <w:u w:val="single"/>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DefinitionTerm">
    <w:name w:val="Definition Term"/>
    <w:basedOn w:val="Normal"/>
    <w:next w:val="Normal"/>
    <w:qFormat/>
    <w:pPr/>
    <w:rPr>
      <w:sz w:val="24"/>
    </w:rPr>
  </w:style>
  <w:style w:type="paragraph" w:styleId="NormalWeb">
    <w:name w:val="Normal (Web)"/>
    <w:basedOn w:val="Normal"/>
    <w:qFormat/>
    <w:pPr>
      <w:spacing w:before="100" w:after="100"/>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2000-11-08T12:15:00Z</dcterms:created>
  <dc:creator>Type your name here</dc:creator>
  <dc:description/>
  <dc:language>en-CA</dc:language>
  <cp:lastModifiedBy>Information Services</cp:lastModifiedBy>
  <cp:lastPrinted>2000-11-07T12:54:00Z</cp:lastPrinted>
  <dcterms:modified xsi:type="dcterms:W3CDTF">2000-11-08T12:15:00Z</dcterms:modified>
  <cp:revision>2</cp:revision>
  <dc:subject/>
  <dc:title>Edison Electric Institute Alliance Express—March 10, 2000</dc:title>
</cp:coreProperties>
</file>