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ject"/>
        <w:widowControl/>
        <w:tabs>
          <w:tab w:val="clear" w:pos="720"/>
          <w:tab w:val="right" w:pos="6120" w:leader="none"/>
          <w:tab w:val="right" w:pos="9360" w:leader="none"/>
        </w:tabs>
        <w:rPr>
          <w:rFonts w:ascii="Times New Roman" w:hAnsi="Times New Roman" w:cs="Times New Roman"/>
          <w:sz w:val="24"/>
        </w:rPr>
      </w:pPr>
      <w:r>
        <w:rPr>
          <w:rFonts w:cs="Times New Roman" w:ascii="Times New Roman" w:hAnsi="Times New Roman"/>
        </w:rPr>
        <w:drawing>
          <wp:inline distT="0" distB="0" distL="0" distR="0">
            <wp:extent cx="71691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16915" cy="703580"/>
                    </a:xfrm>
                    <a:prstGeom prst="rect">
                      <a:avLst/>
                    </a:prstGeom>
                    <a:noFill/>
                  </pic:spPr>
                </pic:pic>
              </a:graphicData>
            </a:graphic>
          </wp:inline>
        </w:drawing>
      </w:r>
    </w:p>
    <w:p>
      <w:pPr>
        <w:pStyle w:val="Normal"/>
        <w:widowControl/>
        <w:jc w:val="center"/>
        <w:rPr>
          <w:rFonts w:ascii="Times New Roman" w:hAnsi="Times New Roman" w:cs="Times New Roman"/>
          <w:b/>
          <w:sz w:val="24"/>
        </w:rPr>
      </w:pPr>
      <w:r>
        <w:rPr>
          <w:rFonts w:cs="Times New Roman"/>
          <w:b/>
          <w:sz w:val="24"/>
        </w:rPr>
      </w:r>
    </w:p>
    <w:tbl>
      <w:tblPr>
        <w:tblW w:w="8910" w:type="dxa"/>
        <w:jc w:val="start"/>
        <w:tblInd w:w="108" w:type="dxa"/>
        <w:tblLayout w:type="fixed"/>
        <w:tblCellMar>
          <w:top w:w="0" w:type="dxa"/>
          <w:start w:w="108" w:type="dxa"/>
          <w:bottom w:w="0" w:type="dxa"/>
          <w:end w:w="108" w:type="dxa"/>
        </w:tblCellMar>
      </w:tblPr>
      <w:tblGrid>
        <w:gridCol w:w="1440"/>
        <w:gridCol w:w="3330"/>
        <w:gridCol w:w="1232"/>
        <w:gridCol w:w="307"/>
        <w:gridCol w:w="514"/>
        <w:gridCol w:w="2087"/>
      </w:tblGrid>
      <w:tr>
        <w:trPr>
          <w:trHeight w:val="315" w:hRule="atLeast"/>
        </w:trPr>
        <w:tc>
          <w:tcPr>
            <w:tcW w:w="1440" w:type="dxa"/>
            <w:tcBorders/>
          </w:tcPr>
          <w:p>
            <w:pPr>
              <w:pStyle w:val="Normal"/>
              <w:widowControl/>
              <w:ind w:start="-108" w:end="0"/>
              <w:rPr>
                <w:b/>
                <w:sz w:val="24"/>
              </w:rPr>
            </w:pPr>
            <w:r>
              <w:rPr>
                <w:b/>
                <w:sz w:val="24"/>
              </w:rPr>
              <w:t>To:</w:t>
            </w:r>
          </w:p>
        </w:tc>
        <w:tc>
          <w:tcPr>
            <w:tcW w:w="3330" w:type="dxa"/>
            <w:tcBorders/>
          </w:tcPr>
          <w:p>
            <w:pPr>
              <w:pStyle w:val="To"/>
              <w:widowControl/>
              <w:rPr>
                <w:rFonts w:ascii="Times New Roman" w:hAnsi="Times New Roman" w:cs="Times New Roman"/>
                <w:sz w:val="24"/>
              </w:rPr>
            </w:pPr>
            <w:r>
              <w:rPr>
                <w:rFonts w:cs="Times New Roman" w:ascii="Times New Roman" w:hAnsi="Times New Roman"/>
                <w:sz w:val="24"/>
              </w:rPr>
              <w:t>Distribution</w:t>
            </w:r>
          </w:p>
        </w:tc>
        <w:tc>
          <w:tcPr>
            <w:tcW w:w="2053" w:type="dxa"/>
            <w:gridSpan w:val="3"/>
            <w:tcBorders/>
          </w:tcPr>
          <w:p>
            <w:pPr>
              <w:pStyle w:val="Normal"/>
              <w:widowControl/>
              <w:snapToGrid w:val="false"/>
              <w:ind w:start="72" w:end="0"/>
              <w:rPr>
                <w:rFonts w:ascii="Times New Roman" w:hAnsi="Times New Roman" w:cs="Times New Roman"/>
                <w:sz w:val="24"/>
              </w:rPr>
            </w:pPr>
            <w:r>
              <w:rPr>
                <w:rFonts w:cs="Times New Roman"/>
                <w:sz w:val="24"/>
              </w:rPr>
            </w:r>
          </w:p>
        </w:tc>
        <w:tc>
          <w:tcPr>
            <w:tcW w:w="2087" w:type="dxa"/>
            <w:tcBorders/>
          </w:tcPr>
          <w:p>
            <w:pPr>
              <w:pStyle w:val="Normal"/>
              <w:widowControl/>
              <w:snapToGrid w:val="false"/>
              <w:rPr>
                <w:b/>
                <w:sz w:val="24"/>
              </w:rPr>
            </w:pPr>
            <w:r>
              <w:rPr>
                <w:b/>
                <w:sz w:val="24"/>
              </w:rPr>
            </w:r>
          </w:p>
        </w:tc>
      </w:tr>
      <w:tr>
        <w:trPr>
          <w:trHeight w:val="269" w:hRule="exact"/>
        </w:trPr>
        <w:tc>
          <w:tcPr>
            <w:tcW w:w="1440" w:type="dxa"/>
            <w:tcBorders/>
          </w:tcPr>
          <w:p>
            <w:pPr>
              <w:pStyle w:val="Normal"/>
              <w:widowControl/>
              <w:snapToGrid w:val="false"/>
              <w:ind w:start="-108" w:end="0"/>
              <w:rPr>
                <w:b/>
                <w:sz w:val="24"/>
              </w:rPr>
            </w:pPr>
            <w:r>
              <w:rPr>
                <w:b/>
                <w:sz w:val="24"/>
              </w:rPr>
            </w:r>
          </w:p>
        </w:tc>
        <w:tc>
          <w:tcPr>
            <w:tcW w:w="3330" w:type="dxa"/>
            <w:tcBorders/>
          </w:tcPr>
          <w:p>
            <w:pPr>
              <w:pStyle w:val="Normal"/>
              <w:widowControl/>
              <w:snapToGrid w:val="false"/>
              <w:rPr>
                <w:b/>
                <w:sz w:val="24"/>
              </w:rPr>
            </w:pPr>
            <w:r>
              <w:rPr>
                <w:b/>
                <w:sz w:val="24"/>
              </w:rPr>
            </w:r>
          </w:p>
        </w:tc>
        <w:tc>
          <w:tcPr>
            <w:tcW w:w="2053" w:type="dxa"/>
            <w:gridSpan w:val="3"/>
            <w:tcBorders/>
          </w:tcPr>
          <w:p>
            <w:pPr>
              <w:pStyle w:val="Normal"/>
              <w:widowControl/>
              <w:snapToGrid w:val="false"/>
              <w:ind w:start="-180" w:end="0"/>
              <w:rPr>
                <w:b/>
                <w:sz w:val="24"/>
              </w:rPr>
            </w:pPr>
            <w:r>
              <w:rPr>
                <w:b/>
                <w:sz w:val="24"/>
              </w:rPr>
            </w:r>
          </w:p>
        </w:tc>
        <w:tc>
          <w:tcPr>
            <w:tcW w:w="2087" w:type="dxa"/>
            <w:tcBorders/>
          </w:tcPr>
          <w:p>
            <w:pPr>
              <w:pStyle w:val="Normal"/>
              <w:widowControl/>
              <w:snapToGrid w:val="false"/>
              <w:rPr>
                <w:b/>
                <w:sz w:val="24"/>
              </w:rPr>
            </w:pPr>
            <w:r>
              <w:rPr>
                <w:b/>
                <w:sz w:val="24"/>
              </w:rPr>
            </w:r>
          </w:p>
        </w:tc>
      </w:tr>
      <w:tr>
        <w:trPr>
          <w:trHeight w:val="300" w:hRule="exact"/>
        </w:trPr>
        <w:tc>
          <w:tcPr>
            <w:tcW w:w="1440" w:type="dxa"/>
            <w:tcBorders/>
          </w:tcPr>
          <w:p>
            <w:pPr>
              <w:pStyle w:val="Normal"/>
              <w:widowControl/>
              <w:ind w:start="-108" w:end="0"/>
              <w:rPr>
                <w:b/>
                <w:sz w:val="24"/>
              </w:rPr>
            </w:pPr>
            <w:r>
              <w:rPr>
                <w:b/>
                <w:sz w:val="24"/>
              </w:rPr>
              <w:t>From:</w:t>
            </w:r>
          </w:p>
        </w:tc>
        <w:tc>
          <w:tcPr>
            <w:tcW w:w="3330" w:type="dxa"/>
            <w:tcBorders/>
          </w:tcPr>
          <w:p>
            <w:pPr>
              <w:pStyle w:val="From"/>
              <w:widowControl/>
              <w:rPr>
                <w:rFonts w:ascii="Times New Roman" w:hAnsi="Times New Roman" w:cs="Times New Roman"/>
                <w:sz w:val="24"/>
              </w:rPr>
            </w:pPr>
            <w:r>
              <w:rPr>
                <w:rFonts w:cs="Times New Roman" w:ascii="Times New Roman" w:hAnsi="Times New Roman"/>
                <w:sz w:val="24"/>
              </w:rPr>
              <w:t>Shelley Corman</w:t>
            </w:r>
          </w:p>
        </w:tc>
        <w:tc>
          <w:tcPr>
            <w:tcW w:w="1539" w:type="dxa"/>
            <w:gridSpan w:val="2"/>
            <w:tcBorders/>
          </w:tcPr>
          <w:p>
            <w:pPr>
              <w:pStyle w:val="Normal"/>
              <w:widowControl/>
              <w:snapToGrid w:val="false"/>
              <w:ind w:start="-180" w:end="0"/>
              <w:jc w:val="end"/>
              <w:rPr>
                <w:rFonts w:ascii="Times New Roman" w:hAnsi="Times New Roman" w:cs="Times New Roman"/>
                <w:b/>
                <w:sz w:val="24"/>
              </w:rPr>
            </w:pPr>
            <w:r>
              <w:rPr>
                <w:rFonts w:cs="Times New Roman"/>
                <w:b/>
                <w:sz w:val="24"/>
              </w:rPr>
            </w:r>
          </w:p>
        </w:tc>
        <w:tc>
          <w:tcPr>
            <w:tcW w:w="2601" w:type="dxa"/>
            <w:gridSpan w:val="2"/>
            <w:tcBorders/>
          </w:tcPr>
          <w:p>
            <w:pPr>
              <w:pStyle w:val="Department"/>
              <w:widowControl/>
              <w:snapToGrid w:val="false"/>
              <w:rPr>
                <w:rFonts w:ascii="Times New Roman" w:hAnsi="Times New Roman" w:cs="Times New Roman"/>
                <w:b/>
                <w:sz w:val="24"/>
              </w:rPr>
            </w:pPr>
            <w:r>
              <w:rPr>
                <w:rFonts w:cs="Times New Roman" w:ascii="Times New Roman" w:hAnsi="Times New Roman"/>
                <w:b/>
                <w:sz w:val="24"/>
              </w:rPr>
            </w:r>
            <w:bookmarkStart w:id="0" w:name="From"/>
            <w:bookmarkStart w:id="1" w:name="From"/>
            <w:bookmarkEnd w:id="1"/>
          </w:p>
        </w:tc>
      </w:tr>
      <w:tr>
        <w:trPr>
          <w:trHeight w:val="216" w:hRule="exact"/>
        </w:trPr>
        <w:tc>
          <w:tcPr>
            <w:tcW w:w="1440" w:type="dxa"/>
            <w:tcBorders/>
          </w:tcPr>
          <w:p>
            <w:pPr>
              <w:pStyle w:val="Normal"/>
              <w:widowControl/>
              <w:snapToGrid w:val="false"/>
              <w:ind w:start="-108" w:end="0"/>
              <w:rPr>
                <w:rFonts w:ascii="Times New Roman" w:hAnsi="Times New Roman" w:cs="Times New Roman"/>
                <w:b/>
                <w:sz w:val="24"/>
              </w:rPr>
            </w:pPr>
            <w:r>
              <w:rPr>
                <w:rFonts w:cs="Times New Roman"/>
                <w:b/>
                <w:sz w:val="24"/>
              </w:rPr>
            </w:r>
          </w:p>
        </w:tc>
        <w:tc>
          <w:tcPr>
            <w:tcW w:w="3330" w:type="dxa"/>
            <w:tcBorders/>
          </w:tcPr>
          <w:p>
            <w:pPr>
              <w:pStyle w:val="Normal"/>
              <w:widowControl/>
              <w:snapToGrid w:val="false"/>
              <w:rPr>
                <w:b/>
                <w:sz w:val="24"/>
              </w:rPr>
            </w:pPr>
            <w:r>
              <w:rPr>
                <w:b/>
                <w:sz w:val="24"/>
              </w:rPr>
            </w:r>
          </w:p>
        </w:tc>
        <w:tc>
          <w:tcPr>
            <w:tcW w:w="2053" w:type="dxa"/>
            <w:gridSpan w:val="3"/>
            <w:tcBorders/>
          </w:tcPr>
          <w:p>
            <w:pPr>
              <w:pStyle w:val="Normal"/>
              <w:widowControl/>
              <w:tabs>
                <w:tab w:val="clear" w:pos="720"/>
                <w:tab w:val="left" w:pos="-108" w:leader="none"/>
              </w:tabs>
              <w:snapToGrid w:val="false"/>
              <w:ind w:start="-180" w:end="0"/>
              <w:rPr>
                <w:b/>
                <w:sz w:val="24"/>
              </w:rPr>
            </w:pPr>
            <w:r>
              <w:rPr>
                <w:b/>
                <w:sz w:val="24"/>
              </w:rPr>
            </w:r>
          </w:p>
        </w:tc>
        <w:tc>
          <w:tcPr>
            <w:tcW w:w="2087" w:type="dxa"/>
            <w:tcBorders/>
          </w:tcPr>
          <w:p>
            <w:pPr>
              <w:pStyle w:val="Normal"/>
              <w:widowControl/>
              <w:snapToGrid w:val="false"/>
              <w:rPr>
                <w:b/>
                <w:sz w:val="24"/>
              </w:rPr>
            </w:pPr>
            <w:r>
              <w:rPr>
                <w:b/>
                <w:sz w:val="24"/>
              </w:rPr>
            </w:r>
          </w:p>
        </w:tc>
      </w:tr>
      <w:tr>
        <w:trPr/>
        <w:tc>
          <w:tcPr>
            <w:tcW w:w="1440" w:type="dxa"/>
            <w:tcBorders/>
          </w:tcPr>
          <w:p>
            <w:pPr>
              <w:pStyle w:val="Normal"/>
              <w:widowControl/>
              <w:ind w:start="-108" w:end="0"/>
              <w:rPr>
                <w:b/>
                <w:sz w:val="24"/>
              </w:rPr>
            </w:pPr>
            <w:r>
              <w:rPr>
                <w:b/>
                <w:sz w:val="24"/>
              </w:rPr>
              <w:t>Subject:</w:t>
            </w:r>
          </w:p>
        </w:tc>
        <w:tc>
          <w:tcPr>
            <w:tcW w:w="3330" w:type="dxa"/>
            <w:tcBorders/>
          </w:tcPr>
          <w:p>
            <w:pPr>
              <w:pStyle w:val="Subject"/>
              <w:widowControl/>
              <w:rPr>
                <w:rFonts w:ascii="Times New Roman" w:hAnsi="Times New Roman" w:cs="Times New Roman"/>
                <w:sz w:val="24"/>
              </w:rPr>
            </w:pPr>
            <w:r>
              <w:rPr>
                <w:rFonts w:cs="Times New Roman" w:ascii="Times New Roman" w:hAnsi="Times New Roman"/>
                <w:sz w:val="24"/>
              </w:rPr>
              <w:t xml:space="preserve">Meeting with Electric Generators </w:t>
            </w:r>
          </w:p>
        </w:tc>
        <w:tc>
          <w:tcPr>
            <w:tcW w:w="1232" w:type="dxa"/>
            <w:tcBorders/>
          </w:tcPr>
          <w:p>
            <w:pPr>
              <w:pStyle w:val="Normal"/>
              <w:widowControl/>
              <w:ind w:start="44" w:end="0"/>
              <w:rPr>
                <w:b/>
                <w:sz w:val="24"/>
              </w:rPr>
            </w:pPr>
            <w:r>
              <w:rPr>
                <w:b/>
                <w:sz w:val="24"/>
              </w:rPr>
              <w:t>Date:</w:t>
            </w:r>
          </w:p>
        </w:tc>
        <w:tc>
          <w:tcPr>
            <w:tcW w:w="2908" w:type="dxa"/>
            <w:gridSpan w:val="3"/>
            <w:tcBorders/>
          </w:tcPr>
          <w:p>
            <w:pPr>
              <w:pStyle w:val="Date"/>
              <w:widowControl/>
              <w:rPr>
                <w:rFonts w:ascii="Times New Roman" w:hAnsi="Times New Roman" w:cs="Times New Roman"/>
                <w:sz w:val="24"/>
              </w:rPr>
            </w:pPr>
            <w:r>
              <w:rPr>
                <w:rFonts w:cs="Times New Roman" w:ascii="Times New Roman" w:hAnsi="Times New Roman"/>
                <w:sz w:val="24"/>
              </w:rPr>
              <w:t>December 4, 2000</w:t>
            </w:r>
          </w:p>
        </w:tc>
      </w:tr>
    </w:tbl>
    <w:p>
      <w:pPr>
        <w:pStyle w:val="Normal"/>
        <w:widowControl/>
        <w:pBdr>
          <w:bottom w:val="single" w:sz="12" w:space="1" w:color="000000"/>
        </w:pBdr>
        <w:rPr>
          <w:sz w:val="24"/>
        </w:rPr>
      </w:pPr>
      <w:r>
        <w:rPr>
          <w:sz w:val="24"/>
        </w:rPr>
      </w:r>
    </w:p>
    <w:p>
      <w:pPr>
        <w:pStyle w:val="Normal"/>
        <w:widowControl/>
        <w:rPr>
          <w:sz w:val="24"/>
        </w:rPr>
      </w:pPr>
      <w:r>
        <w:rPr>
          <w:sz w:val="24"/>
        </w:rPr>
      </w:r>
    </w:p>
    <w:p>
      <w:pPr>
        <w:pStyle w:val="Heading5"/>
        <w:widowControl/>
        <w:ind w:hanging="0" w:start="0"/>
        <w:rPr/>
      </w:pPr>
      <w:r>
        <w:rPr/>
        <w:t>Summary</w:t>
      </w:r>
    </w:p>
    <w:p>
      <w:pPr>
        <w:pStyle w:val="Normal"/>
        <w:spacing w:lineRule="atLeast" w:line="240"/>
        <w:rPr>
          <w:color w:val="000000"/>
          <w:sz w:val="24"/>
        </w:rPr>
      </w:pPr>
      <w:r>
        <w:rPr>
          <w:color w:val="000000"/>
          <w:sz w:val="24"/>
        </w:rPr>
        <w:t xml:space="preserve">Today, Dan McCarty, Dave Neubauer and I attended a dialogue session organized by the Alliance for Energy Suppliers, the generation arm of EEI,  to discuss the types of pipeline services desired by merchant generators. Nearly every pipeline company was represented. Besides EEI staff, the generation segment was represented by Dominion, Calpine, Dynegy, Reliant, El Paso Merchant Services, Duke Merchant Services and SEI. </w:t>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t>The crux of the discussion was that while generators need short-notice, high-pressure service, for the most part, they believe they can currently get this flexibility within interruptible and firm services.  They recognize that as new loads put additional demand on pipelines in the future, flexibility beyond the tariff parameters will be limited and these rights will need to be specifically contracted for.  In the meantime, however, they see no reason to step up to separately contract for these added services.</w:t>
      </w:r>
    </w:p>
    <w:p>
      <w:pPr>
        <w:pStyle w:val="Normal"/>
        <w:spacing w:lineRule="atLeast" w:line="240"/>
        <w:rPr>
          <w:color w:val="000000"/>
          <w:sz w:val="24"/>
        </w:rPr>
      </w:pPr>
      <w:r>
        <w:rPr>
          <w:color w:val="000000"/>
          <w:sz w:val="24"/>
        </w:rPr>
      </w:r>
    </w:p>
    <w:p>
      <w:pPr>
        <w:pStyle w:val="Normal"/>
        <w:spacing w:lineRule="atLeast" w:line="240"/>
        <w:rPr/>
      </w:pPr>
      <w:r>
        <w:rPr>
          <w:color w:val="000000"/>
          <w:sz w:val="24"/>
        </w:rPr>
        <w:t xml:space="preserve">Pipelines argued the case for dealing with this process of commemorating obligations </w:t>
      </w:r>
      <w:r>
        <w:rPr>
          <w:i/>
          <w:color w:val="000000"/>
          <w:sz w:val="24"/>
        </w:rPr>
        <w:t>before</w:t>
      </w:r>
      <w:r>
        <w:rPr>
          <w:color w:val="000000"/>
          <w:sz w:val="24"/>
        </w:rPr>
        <w:t xml:space="preserve"> pipeline systems become constrained.  Many pipeline speakers mentioned that when they have tried to begin to define new higher levels of service in rate schedules, electric generators have not supported the filings.</w:t>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t xml:space="preserve">A follow-up dialogue will be scheduled in 4-6 weeks.  The generator attendees agreed to draft an outline of the service agreement they would like to see.  </w:t>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r>
    </w:p>
    <w:p>
      <w:pPr>
        <w:pStyle w:val="Heading8"/>
        <w:ind w:hanging="0" w:start="0"/>
        <w:rPr/>
      </w:pPr>
      <w:r>
        <w:rPr/>
        <w:t>Generator Positions</w:t>
      </w:r>
    </w:p>
    <w:p>
      <w:pPr>
        <w:pStyle w:val="Normal"/>
        <w:numPr>
          <w:ilvl w:val="0"/>
          <w:numId w:val="4"/>
        </w:numPr>
        <w:spacing w:lineRule="atLeast" w:line="240"/>
        <w:rPr>
          <w:color w:val="000000"/>
          <w:sz w:val="24"/>
        </w:rPr>
      </w:pPr>
      <w:r>
        <w:rPr>
          <w:color w:val="000000"/>
          <w:sz w:val="24"/>
        </w:rPr>
        <w:t xml:space="preserve">Chuck Linderman summarized the Alliance position that generators want “plain vanilla firm service” with the ability make hourly nominations and certain other features.  </w:t>
      </w:r>
    </w:p>
    <w:p>
      <w:pPr>
        <w:pStyle w:val="Normal"/>
        <w:numPr>
          <w:ilvl w:val="0"/>
          <w:numId w:val="4"/>
        </w:numPr>
        <w:spacing w:lineRule="atLeast" w:line="240"/>
        <w:rPr>
          <w:color w:val="000000"/>
          <w:sz w:val="24"/>
        </w:rPr>
      </w:pPr>
      <w:r>
        <w:rPr>
          <w:color w:val="000000"/>
          <w:sz w:val="24"/>
        </w:rPr>
        <w:t xml:space="preserve">The new hourly services such as HFT seem to be an effort to extract more revenues.  But, there are no new resources (storage, portable compression) backing these services.  </w:t>
      </w:r>
    </w:p>
    <w:p>
      <w:pPr>
        <w:pStyle w:val="Normal"/>
        <w:numPr>
          <w:ilvl w:val="0"/>
          <w:numId w:val="4"/>
        </w:numPr>
        <w:spacing w:lineRule="atLeast" w:line="240"/>
        <w:rPr>
          <w:color w:val="000000"/>
          <w:sz w:val="24"/>
        </w:rPr>
      </w:pPr>
      <w:r>
        <w:rPr>
          <w:color w:val="000000"/>
          <w:sz w:val="24"/>
        </w:rPr>
        <w:t>Generators can’t agree to different penalty or imbalance positions that would put them at a competitive disadvantage.</w:t>
      </w:r>
    </w:p>
    <w:p>
      <w:pPr>
        <w:pStyle w:val="Normal"/>
        <w:numPr>
          <w:ilvl w:val="0"/>
          <w:numId w:val="4"/>
        </w:numPr>
        <w:spacing w:lineRule="atLeast" w:line="240"/>
        <w:rPr>
          <w:color w:val="000000"/>
          <w:sz w:val="24"/>
        </w:rPr>
      </w:pPr>
      <w:r>
        <w:rPr>
          <w:color w:val="000000"/>
          <w:sz w:val="24"/>
        </w:rPr>
        <w:t xml:space="preserve">Calpine is sympathetic to the AGA position of putting all uses under the same tariff.  </w:t>
      </w:r>
    </w:p>
    <w:p>
      <w:pPr>
        <w:pStyle w:val="Normal"/>
        <w:numPr>
          <w:ilvl w:val="0"/>
          <w:numId w:val="4"/>
        </w:numPr>
        <w:spacing w:lineRule="atLeast" w:line="240"/>
        <w:rPr>
          <w:color w:val="000000"/>
          <w:sz w:val="24"/>
        </w:rPr>
      </w:pPr>
      <w:r>
        <w:rPr>
          <w:color w:val="000000"/>
          <w:sz w:val="24"/>
        </w:rPr>
        <w:t>Dynegy opposes the ability to negotiate individual features and also opposes HFT type tariffs.</w:t>
      </w:r>
    </w:p>
    <w:p>
      <w:pPr>
        <w:pStyle w:val="Normal"/>
        <w:numPr>
          <w:ilvl w:val="0"/>
          <w:numId w:val="4"/>
        </w:numPr>
        <w:spacing w:lineRule="atLeast" w:line="240"/>
        <w:rPr>
          <w:color w:val="000000"/>
          <w:sz w:val="24"/>
        </w:rPr>
      </w:pPr>
      <w:r>
        <w:rPr>
          <w:color w:val="000000"/>
          <w:sz w:val="24"/>
        </w:rPr>
        <w:t>Ken Bradley of Reliant candidly summed up the generator position saying “ We don’t commit because we don’t have to.  We know we’ll have to eventually and we have money aside for that day.”</w:t>
      </w:r>
    </w:p>
    <w:p>
      <w:pPr>
        <w:pStyle w:val="Normal"/>
        <w:rPr>
          <w:color w:val="000000"/>
          <w:sz w:val="24"/>
        </w:rPr>
      </w:pPr>
      <w:r>
        <w:rPr>
          <w:color w:val="000000"/>
          <w:sz w:val="24"/>
        </w:rPr>
      </w:r>
    </w:p>
    <w:p>
      <w:pPr>
        <w:pStyle w:val="Normal"/>
        <w:rPr>
          <w:sz w:val="24"/>
        </w:rPr>
      </w:pPr>
      <w:r>
        <w:rPr>
          <w:sz w:val="24"/>
        </w:rPr>
      </w:r>
    </w:p>
    <w:p>
      <w:pPr>
        <w:pStyle w:val="Heading8"/>
        <w:ind w:hanging="0" w:start="0"/>
        <w:rPr/>
      </w:pPr>
      <w:r>
        <w:rPr/>
        <w:t xml:space="preserve">Pipeline Responses </w:t>
      </w:r>
    </w:p>
    <w:p>
      <w:pPr>
        <w:pStyle w:val="Normal"/>
        <w:numPr>
          <w:ilvl w:val="0"/>
          <w:numId w:val="6"/>
        </w:numPr>
        <w:spacing w:lineRule="atLeast" w:line="240"/>
        <w:rPr>
          <w:color w:val="000000"/>
          <w:sz w:val="24"/>
        </w:rPr>
      </w:pPr>
      <w:r>
        <w:rPr>
          <w:color w:val="000000"/>
          <w:sz w:val="24"/>
        </w:rPr>
        <w:t xml:space="preserve">Steve Beasily spoke about the fact that Tennessee is currently working with 65 merchant plants, which he believes will add 2.5 Bcf or approximately a 40% increase in load.   Tennessee’s experience is that less than 10% of merchant loads are firm, long-haul type service.  Pipelines are willing to add the service guarantees and pricing flexibility.  He mentioned Tennessee’s efforts to index to the downstream markets. </w:t>
      </w:r>
    </w:p>
    <w:p>
      <w:pPr>
        <w:pStyle w:val="Normal"/>
        <w:numPr>
          <w:ilvl w:val="0"/>
          <w:numId w:val="2"/>
        </w:numPr>
        <w:spacing w:lineRule="atLeast" w:line="240"/>
        <w:rPr>
          <w:color w:val="000000"/>
          <w:sz w:val="24"/>
        </w:rPr>
      </w:pPr>
      <w:r>
        <w:rPr>
          <w:color w:val="000000"/>
          <w:sz w:val="24"/>
        </w:rPr>
        <w:t>He argued that pipelines aren’t selling a single service “vanilla” FT.  In reality, pipelines are selling a base FT service and optionality.  He said that he is still trying to understand “Is there really a willing buyer?”</w:t>
      </w:r>
    </w:p>
    <w:p>
      <w:pPr>
        <w:pStyle w:val="Normal"/>
        <w:numPr>
          <w:ilvl w:val="0"/>
          <w:numId w:val="7"/>
        </w:numPr>
        <w:spacing w:lineRule="atLeast" w:line="240"/>
        <w:rPr>
          <w:color w:val="000000"/>
          <w:sz w:val="24"/>
        </w:rPr>
      </w:pPr>
      <w:r>
        <w:rPr>
          <w:color w:val="000000"/>
          <w:sz w:val="24"/>
        </w:rPr>
        <w:t xml:space="preserve">Pipelines observed that there is growing opposition to Hourly Firm Tariff Filings.  The Commission praised Reliant in approving the HFT service.  But, now as other pipelines make similar filings, customer opposition is growing.  Tennessee stated that they had 21 protests – 19 of which where from LDCs that raised concerns about degradation to existing customers.  Tennessee is most disappointed by the lack of support from any generators.  </w:t>
      </w:r>
    </w:p>
    <w:p>
      <w:pPr>
        <w:pStyle w:val="Normal"/>
        <w:spacing w:lineRule="atLeast" w:line="240"/>
        <w:rPr>
          <w:color w:val="000000"/>
          <w:sz w:val="24"/>
        </w:rPr>
      </w:pPr>
      <w:r>
        <w:rPr>
          <w:color w:val="000000"/>
          <w:sz w:val="24"/>
        </w:rPr>
      </w:r>
    </w:p>
    <w:p>
      <w:pPr>
        <w:pStyle w:val="Heading8"/>
        <w:ind w:hanging="0" w:start="0"/>
        <w:rPr/>
      </w:pPr>
      <w:r>
        <w:rPr/>
        <w:t>Special Issues</w:t>
      </w:r>
    </w:p>
    <w:p>
      <w:pPr>
        <w:pStyle w:val="Normal"/>
        <w:numPr>
          <w:ilvl w:val="0"/>
          <w:numId w:val="5"/>
        </w:numPr>
        <w:rPr>
          <w:i/>
          <w:i/>
          <w:sz w:val="24"/>
        </w:rPr>
      </w:pPr>
      <w:r>
        <w:rPr>
          <w:b/>
          <w:color w:val="000000"/>
          <w:sz w:val="24"/>
        </w:rPr>
        <w:t>Gas Quality Issues</w:t>
      </w:r>
      <w:r>
        <w:rPr>
          <w:color w:val="000000"/>
          <w:sz w:val="24"/>
        </w:rPr>
        <w:t>.  Generator equipment is increasingly sensitive to gas quality issues (e.g. free of liquids, low nitrogen levels) for performance and air permitting reasons.  For example, the performance of the GE units are only guaranteed if the generator can document gas quality. Generators are frustrated that pipeline tariffs do not address and pipelines don’t track many quality issues (sulfer, nitrogen, and hydrocarbon dewpoint levels).  Generators are currently dealing with gas quality concerns by installing heaters or shutting down the plant when quality becomes a problem.  But even where chromatographs are installed at the site, there is inadequate lead-time (as the units may already be committed as spinning reserves).  It is not clear that there is a generic solution to this concern.  While some generators suggested real-time disclosure, they also acknowledge that certain quality factors are not captured by current chromatography and must be determined in a lab.  The generators</w:t>
      </w:r>
      <w:r>
        <w:rPr>
          <w:sz w:val="24"/>
        </w:rPr>
        <w:t xml:space="preserve"> also acknowledge that with constantly changing gas flow patterns and new supply sources, there are serious limitations to trending historical quality data.</w:t>
      </w:r>
      <w:r>
        <w:rPr>
          <w:i/>
          <w:sz w:val="24"/>
        </w:rPr>
        <w:t>.</w:t>
      </w:r>
    </w:p>
    <w:p>
      <w:pPr>
        <w:pStyle w:val="Normal"/>
        <w:numPr>
          <w:ilvl w:val="0"/>
          <w:numId w:val="3"/>
        </w:numPr>
        <w:spacing w:lineRule="atLeast" w:line="240"/>
        <w:rPr>
          <w:color w:val="000000"/>
          <w:sz w:val="24"/>
        </w:rPr>
      </w:pPr>
      <w:r>
        <w:rPr>
          <w:b/>
          <w:color w:val="000000"/>
          <w:sz w:val="24"/>
        </w:rPr>
        <w:t>Scheduling Timelines</w:t>
      </w:r>
      <w:r>
        <w:rPr>
          <w:color w:val="000000"/>
          <w:sz w:val="24"/>
        </w:rPr>
        <w:t xml:space="preserve">.  The Alliance is interested in continuing to talk about making gas and electric timelines compatible, but recognized that the first step is to standardize ISO bid timeframes.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u w:val="single"/>
    </w:rPr>
  </w:style>
  <w:style w:type="paragraph" w:styleId="Heading3">
    <w:name w:val="heading 3"/>
    <w:basedOn w:val="Normal"/>
    <w:next w:val="Normal"/>
    <w:qFormat/>
    <w:pPr>
      <w:keepNext w:val="true"/>
      <w:numPr>
        <w:ilvl w:val="2"/>
        <w:numId w:val="1"/>
      </w:numPr>
      <w:outlineLvl w:val="2"/>
    </w:pPr>
    <w:rPr>
      <w:u w:val="single"/>
    </w:rPr>
  </w:style>
  <w:style w:type="paragraph" w:styleId="Heading4">
    <w:name w:val="heading 4"/>
    <w:basedOn w:val="Normal"/>
    <w:next w:val="Normal"/>
    <w:qFormat/>
    <w:pPr>
      <w:keepNext w:val="true"/>
      <w:numPr>
        <w:ilvl w:val="3"/>
        <w:numId w:val="1"/>
      </w:numPr>
      <w:outlineLvl w:val="3"/>
    </w:pPr>
    <w:rPr>
      <w:b/>
      <w:color w:val="000000"/>
      <w:u w:val="single"/>
    </w:rPr>
  </w:style>
  <w:style w:type="paragraph" w:styleId="Heading5">
    <w:name w:val="heading 5"/>
    <w:basedOn w:val="Normal"/>
    <w:next w:val="Normal"/>
    <w:qFormat/>
    <w:pPr>
      <w:keepNext w:val="true"/>
      <w:numPr>
        <w:ilvl w:val="4"/>
        <w:numId w:val="1"/>
      </w:numPr>
      <w:outlineLvl w:val="4"/>
    </w:pPr>
    <w:rPr>
      <w:b/>
      <w:sz w:val="24"/>
      <w:u w:val="single"/>
    </w:rPr>
  </w:style>
  <w:style w:type="paragraph" w:styleId="Heading6">
    <w:name w:val="heading 6"/>
    <w:basedOn w:val="Normal"/>
    <w:next w:val="Normal"/>
    <w:qFormat/>
    <w:pPr>
      <w:keepNext w:val="true"/>
      <w:numPr>
        <w:ilvl w:val="5"/>
        <w:numId w:val="1"/>
      </w:numPr>
      <w:outlineLvl w:val="5"/>
    </w:pPr>
    <w:rPr>
      <w:sz w:val="24"/>
      <w:u w:val="single"/>
    </w:rPr>
  </w:style>
  <w:style w:type="paragraph" w:styleId="Heading7">
    <w:name w:val="heading 7"/>
    <w:basedOn w:val="Normal"/>
    <w:next w:val="Normal"/>
    <w:qFormat/>
    <w:pPr>
      <w:keepNext w:val="true"/>
      <w:numPr>
        <w:ilvl w:val="6"/>
        <w:numId w:val="1"/>
      </w:numPr>
      <w:spacing w:lineRule="atLeast" w:line="240"/>
      <w:outlineLvl w:val="6"/>
    </w:pPr>
    <w:rPr>
      <w:b/>
      <w:color w:val="000000"/>
      <w:sz w:val="24"/>
    </w:rPr>
  </w:style>
  <w:style w:type="paragraph" w:styleId="Heading8">
    <w:name w:val="heading 8"/>
    <w:basedOn w:val="Normal"/>
    <w:next w:val="Normal"/>
    <w:qFormat/>
    <w:pPr>
      <w:keepNext w:val="true"/>
      <w:numPr>
        <w:ilvl w:val="7"/>
        <w:numId w:val="1"/>
      </w:numPr>
      <w:spacing w:lineRule="atLeast" w:line="240"/>
      <w:outlineLvl w:val="7"/>
    </w:pPr>
    <w:rPr>
      <w:b/>
      <w:color w:val="000000"/>
      <w:sz w:val="24"/>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Department">
    <w:name w:val="Department"/>
    <w:basedOn w:val="Normal"/>
    <w:qFormat/>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2000-12-05T01:56:00Z</dcterms:created>
  <dc:creator>ET&amp;S LAN Support</dc:creator>
  <dc:description/>
  <dc:language>en-CA</dc:language>
  <cp:lastModifiedBy>ET&amp;S</cp:lastModifiedBy>
  <cp:lastPrinted>1999-09-08T16:39:00Z</cp:lastPrinted>
  <dcterms:modified xsi:type="dcterms:W3CDTF">2000-12-05T01:56:00Z</dcterms:modified>
  <cp:revision>2</cp:revision>
  <dc:subject/>
  <dc:title>DRAFT</dc:title>
</cp:coreProperties>
</file>