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0" w:color="000000"/>
        </w:pBdr>
        <w:rPr/>
      </w:pPr>
      <w:r>
        <w:rPr>
          <w:b/>
          <w:sz w:val="72"/>
        </w:rPr>
        <w:t>ISDA</w:t>
      </w:r>
      <w:r>
        <w:rPr>
          <w:b/>
          <w:sz w:val="24"/>
        </w:rPr>
        <w:t xml:space="preserve"> International Swaps and Derivatives Association, Inc.</w:t>
      </w:r>
    </w:p>
    <w:p>
      <w:pPr>
        <w:pStyle w:val="Normal"/>
        <w:spacing w:lineRule="auto" w:line="360"/>
        <w:jc w:val="center"/>
        <w:rPr>
          <w:b/>
          <w:sz w:val="24"/>
        </w:rPr>
      </w:pPr>
      <w:r>
        <w:rPr>
          <w:b/>
          <w:sz w:val="24"/>
        </w:rPr>
      </w:r>
    </w:p>
    <w:p>
      <w:pPr>
        <w:pStyle w:val="Heading2"/>
        <w:spacing w:lineRule="auto" w:line="240"/>
        <w:ind w:hanging="0" w:start="0"/>
        <w:rPr>
          <w:sz w:val="28"/>
        </w:rPr>
      </w:pPr>
      <w:r>
        <w:rPr>
          <w:sz w:val="28"/>
        </w:rPr>
        <w:t>Accounting Committee</w:t>
      </w:r>
    </w:p>
    <w:p>
      <w:pPr>
        <w:pStyle w:val="Normal"/>
        <w:jc w:val="center"/>
        <w:rPr>
          <w:sz w:val="24"/>
        </w:rPr>
      </w:pPr>
      <w:r>
        <w:rPr>
          <w:sz w:val="24"/>
        </w:rPr>
        <w:t>Chairs: Robert Stevens, Credit Suisse Financial Products</w:t>
      </w:r>
    </w:p>
    <w:p>
      <w:pPr>
        <w:pStyle w:val="Normal"/>
        <w:jc w:val="center"/>
        <w:rPr>
          <w:sz w:val="24"/>
        </w:rPr>
      </w:pPr>
      <w:r>
        <w:rPr>
          <w:sz w:val="24"/>
        </w:rPr>
        <w:t>Robin Doyle, J.P. Morgan</w:t>
      </w:r>
    </w:p>
    <w:p>
      <w:pPr>
        <w:pStyle w:val="Normal"/>
        <w:ind w:end="992"/>
        <w:rPr>
          <w:sz w:val="24"/>
        </w:rPr>
      </w:pPr>
      <w:r>
        <w:rPr>
          <w:sz w:val="24"/>
        </w:rPr>
      </w:r>
    </w:p>
    <w:p>
      <w:pPr>
        <w:pStyle w:val="Heading4"/>
        <w:rPr>
          <w:sz w:val="24"/>
        </w:rPr>
      </w:pPr>
      <w:r>
        <w:rPr>
          <w:sz w:val="24"/>
        </w:rPr>
        <w:t>Overview</w:t>
      </w:r>
    </w:p>
    <w:p>
      <w:pPr>
        <w:pStyle w:val="Normal"/>
        <w:ind w:end="992"/>
        <w:rPr>
          <w:sz w:val="24"/>
        </w:rPr>
      </w:pPr>
      <w:r>
        <w:rPr>
          <w:sz w:val="24"/>
        </w:rPr>
      </w:r>
    </w:p>
    <w:p>
      <w:pPr>
        <w:pStyle w:val="BodyText3"/>
        <w:rPr/>
      </w:pPr>
      <w:r>
        <w:rPr/>
        <w:t xml:space="preserve">The Accounting Committee discusses and examines current market practice as well as developments arising from accounting standards setters, such as the Financial Accounting Standards Board and the Securities and Exchange Commission in the US, the Accounting Standards Board in the UK, and the IASC. </w:t>
      </w:r>
    </w:p>
    <w:p>
      <w:pPr>
        <w:pStyle w:val="Normal"/>
        <w:jc w:val="both"/>
        <w:rPr>
          <w:sz w:val="24"/>
        </w:rPr>
      </w:pPr>
      <w:r>
        <w:rPr>
          <w:sz w:val="24"/>
        </w:rPr>
      </w:r>
    </w:p>
    <w:p>
      <w:pPr>
        <w:pStyle w:val="Normal"/>
        <w:jc w:val="both"/>
        <w:rPr>
          <w:sz w:val="24"/>
        </w:rPr>
      </w:pPr>
      <w:r>
        <w:rPr>
          <w:sz w:val="24"/>
        </w:rPr>
        <w:t>An ongoing project has been FAS 133 and its amendment FAS 138. Fair value accounting in the United States has now come into effect for companies whose fiscal years began after June 15, and will be promulgated internationally by the IASC’s IAS 39. Monitoring the effects of fair value accounting on OTC business will continue to be a focus of this and other committees.</w:t>
      </w:r>
    </w:p>
    <w:p>
      <w:pPr>
        <w:pStyle w:val="BlockText"/>
        <w:tabs>
          <w:tab w:val="clear" w:pos="720"/>
          <w:tab w:val="left" w:pos="7797" w:leader="none"/>
        </w:tabs>
        <w:ind w:end="85"/>
        <w:rPr>
          <w:sz w:val="24"/>
        </w:rPr>
      </w:pPr>
      <w:r>
        <w:rPr>
          <w:sz w:val="24"/>
        </w:rPr>
      </w:r>
    </w:p>
    <w:p>
      <w:pPr>
        <w:pStyle w:val="BlockText"/>
        <w:tabs>
          <w:tab w:val="clear" w:pos="720"/>
          <w:tab w:val="left" w:pos="7797" w:leader="none"/>
        </w:tabs>
        <w:ind w:start="0" w:end="85"/>
        <w:jc w:val="start"/>
        <w:rPr>
          <w:b/>
        </w:rPr>
      </w:pPr>
      <w:r>
        <w:rPr>
          <w:b/>
        </w:rPr>
        <w:t>Current Activities</w:t>
      </w:r>
    </w:p>
    <w:p>
      <w:pPr>
        <w:pStyle w:val="BlockText"/>
        <w:tabs>
          <w:tab w:val="clear" w:pos="720"/>
          <w:tab w:val="left" w:pos="7797" w:leader="none"/>
        </w:tabs>
        <w:ind w:start="0" w:end="85"/>
        <w:rPr/>
      </w:pPr>
      <w:r>
        <w:rPr/>
      </w:r>
    </w:p>
    <w:p>
      <w:pPr>
        <w:pStyle w:val="Normal"/>
        <w:numPr>
          <w:ilvl w:val="0"/>
          <w:numId w:val="57"/>
        </w:numPr>
        <w:jc w:val="both"/>
        <w:rPr>
          <w:sz w:val="24"/>
        </w:rPr>
      </w:pPr>
      <w:r>
        <w:rPr>
          <w:sz w:val="24"/>
        </w:rPr>
        <w:t>FASB’s forthcoming Liabilities and Equity exposure draft, anticipated release of which is September 2000. (</w:t>
      </w:r>
      <w:r>
        <w:rPr>
          <w:b/>
          <w:sz w:val="24"/>
          <w:u w:val="single"/>
        </w:rPr>
        <w:t>Timing: ongoing</w:t>
      </w:r>
      <w:r>
        <w:rPr>
          <w:sz w:val="24"/>
        </w:rPr>
        <w:t>)</w:t>
      </w:r>
    </w:p>
    <w:p>
      <w:pPr>
        <w:pStyle w:val="Normal"/>
        <w:jc w:val="both"/>
        <w:rPr>
          <w:sz w:val="24"/>
        </w:rPr>
      </w:pPr>
      <w:r>
        <w:rPr>
          <w:sz w:val="24"/>
        </w:rPr>
      </w:r>
    </w:p>
    <w:p>
      <w:pPr>
        <w:pStyle w:val="Normal"/>
        <w:numPr>
          <w:ilvl w:val="0"/>
          <w:numId w:val="57"/>
        </w:numPr>
        <w:jc w:val="both"/>
        <w:rPr>
          <w:sz w:val="24"/>
        </w:rPr>
      </w:pPr>
      <w:r>
        <w:rPr>
          <w:sz w:val="24"/>
        </w:rPr>
        <w:t>Monitoring progress of IAS 39, which takes effect January 2001, and implementation issues.(</w:t>
      </w:r>
      <w:r>
        <w:rPr>
          <w:b/>
          <w:sz w:val="24"/>
          <w:u w:val="single"/>
        </w:rPr>
        <w:t>Timing: ongoing</w:t>
      </w:r>
      <w:r>
        <w:rPr>
          <w:sz w:val="24"/>
        </w:rPr>
        <w:t>)</w:t>
      </w:r>
    </w:p>
    <w:p>
      <w:pPr>
        <w:pStyle w:val="Normal"/>
        <w:jc w:val="both"/>
        <w:rPr>
          <w:sz w:val="24"/>
        </w:rPr>
      </w:pPr>
      <w:r>
        <w:rPr>
          <w:sz w:val="24"/>
        </w:rPr>
      </w:r>
    </w:p>
    <w:p>
      <w:pPr>
        <w:pStyle w:val="Normal"/>
        <w:numPr>
          <w:ilvl w:val="0"/>
          <w:numId w:val="57"/>
        </w:numPr>
        <w:jc w:val="both"/>
        <w:rPr>
          <w:sz w:val="24"/>
        </w:rPr>
      </w:pPr>
      <w:r>
        <w:rPr>
          <w:sz w:val="24"/>
        </w:rPr>
        <w:t>Monitoring implementation of FAS 133 and its amendment FAS 138, and their effects on derivatives trading (in co-ordination with trading practice committee and the ISDA market survey).  (</w:t>
      </w:r>
      <w:r>
        <w:rPr>
          <w:b/>
          <w:sz w:val="24"/>
          <w:u w:val="single"/>
        </w:rPr>
        <w:t>Timing: ongoing</w:t>
      </w:r>
      <w:r>
        <w:rPr>
          <w:sz w:val="24"/>
        </w:rPr>
        <w:t>)</w:t>
      </w:r>
    </w:p>
    <w:p>
      <w:pPr>
        <w:pStyle w:val="Normal"/>
        <w:jc w:val="both"/>
        <w:rPr>
          <w:sz w:val="24"/>
        </w:rPr>
      </w:pPr>
      <w:r>
        <w:rPr>
          <w:sz w:val="24"/>
        </w:rPr>
      </w:r>
    </w:p>
    <w:p>
      <w:pPr>
        <w:pStyle w:val="Normal"/>
        <w:numPr>
          <w:ilvl w:val="0"/>
          <w:numId w:val="57"/>
        </w:numPr>
        <w:jc w:val="both"/>
        <w:rPr>
          <w:sz w:val="24"/>
        </w:rPr>
      </w:pPr>
      <w:r>
        <w:rPr>
          <w:sz w:val="24"/>
        </w:rPr>
        <w:t>Input into FASB’s Emerging Issues Task Force Issues 96-13 and 00-19, affecting accounting for derivatives on a company’s own stock that are potentially cash settled (in co-ordination with equity derivatives committee). (</w:t>
      </w:r>
      <w:r>
        <w:rPr>
          <w:b/>
          <w:sz w:val="24"/>
          <w:u w:val="single"/>
        </w:rPr>
        <w:t>Timing: ongoing</w:t>
      </w:r>
      <w:r>
        <w:rPr>
          <w:sz w:val="24"/>
        </w:rPr>
        <w:t>)</w:t>
      </w:r>
    </w:p>
    <w:p>
      <w:pPr>
        <w:pStyle w:val="BlockText"/>
        <w:tabs>
          <w:tab w:val="clear" w:pos="720"/>
          <w:tab w:val="left" w:pos="7797" w:leader="none"/>
        </w:tabs>
        <w:ind w:start="0" w:end="85"/>
        <w:rPr>
          <w:sz w:val="24"/>
        </w:rPr>
      </w:pPr>
      <w:r>
        <w:rPr>
          <w:sz w:val="24"/>
        </w:rPr>
      </w:r>
    </w:p>
    <w:p>
      <w:pPr>
        <w:pStyle w:val="BlockText"/>
        <w:tabs>
          <w:tab w:val="clear" w:pos="720"/>
          <w:tab w:val="left" w:pos="7797" w:leader="none"/>
        </w:tabs>
        <w:ind w:start="0" w:end="85"/>
        <w:rPr/>
      </w:pPr>
      <w:r>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Heading"/>
        <w:rPr>
          <w:b w:val="false"/>
          <w:sz w:val="24"/>
        </w:rPr>
      </w:pPr>
      <w:r>
        <w:rPr>
          <w:b w:val="false"/>
          <w:sz w:val="24"/>
        </w:rPr>
      </w:r>
    </w:p>
    <w:p>
      <w:pPr>
        <w:pStyle w:val="Heading"/>
        <w:rPr/>
      </w:pPr>
      <w:r>
        <w:rPr/>
      </w:r>
    </w:p>
    <w:p>
      <w:pPr>
        <w:pStyle w:val="Heading"/>
        <w:rPr>
          <w:sz w:val="28"/>
        </w:rPr>
      </w:pPr>
      <w:r>
        <w:rPr>
          <w:sz w:val="28"/>
        </w:rPr>
        <w:t>Canadian Steering Committee</w:t>
      </w:r>
    </w:p>
    <w:p>
      <w:pPr>
        <w:pStyle w:val="Heading5"/>
        <w:ind w:hanging="0" w:start="0"/>
        <w:rPr/>
      </w:pPr>
      <w:r>
        <w:rPr/>
        <w:t>Chair: Susan Heard, Royal Bank of Canada</w:t>
      </w:r>
    </w:p>
    <w:p>
      <w:pPr>
        <w:pStyle w:val="Normal"/>
        <w:ind w:end="992"/>
        <w:rPr>
          <w:sz w:val="24"/>
        </w:rPr>
      </w:pPr>
      <w:r>
        <w:rPr>
          <w:sz w:val="24"/>
        </w:rPr>
      </w:r>
    </w:p>
    <w:p>
      <w:pPr>
        <w:pStyle w:val="Heading4"/>
        <w:jc w:val="both"/>
        <w:rPr>
          <w:sz w:val="24"/>
        </w:rPr>
      </w:pPr>
      <w:r>
        <w:rPr>
          <w:sz w:val="24"/>
        </w:rPr>
        <w:t>Overview</w:t>
      </w:r>
    </w:p>
    <w:p>
      <w:pPr>
        <w:pStyle w:val="Normal"/>
        <w:ind w:end="992"/>
        <w:jc w:val="both"/>
        <w:rPr>
          <w:sz w:val="24"/>
        </w:rPr>
      </w:pPr>
      <w:r>
        <w:rPr>
          <w:sz w:val="24"/>
        </w:rPr>
      </w:r>
    </w:p>
    <w:p>
      <w:pPr>
        <w:pStyle w:val="Normal"/>
        <w:jc w:val="both"/>
        <w:rPr>
          <w:sz w:val="24"/>
        </w:rPr>
      </w:pPr>
      <w:r>
        <w:rPr>
          <w:sz w:val="24"/>
        </w:rPr>
        <w:t xml:space="preserve">The Canada Steering Committee meets regularly to discuss issues that effect ISDA's Canadian members.  During these meetings, members are also updated on the activities of the Legal/Regulatory Subcommittee, Accounting Subcommittee, Risk Management Subcommittee and Tax Subcommittee.  </w:t>
      </w:r>
    </w:p>
    <w:p>
      <w:pPr>
        <w:pStyle w:val="Normal"/>
        <w:jc w:val="both"/>
        <w:rPr>
          <w:sz w:val="24"/>
        </w:rPr>
      </w:pPr>
      <w:r>
        <w:rPr>
          <w:sz w:val="24"/>
        </w:rPr>
      </w:r>
    </w:p>
    <w:p>
      <w:pPr>
        <w:pStyle w:val="Normal"/>
        <w:jc w:val="both"/>
        <w:rPr/>
      </w:pPr>
      <w:r>
        <w:rPr/>
      </w:r>
    </w:p>
    <w:p>
      <w:pPr>
        <w:pStyle w:val="Heading6"/>
        <w:ind w:hanging="0" w:start="0"/>
        <w:rPr>
          <w:sz w:val="24"/>
        </w:rPr>
      </w:pPr>
      <w:r>
        <w:rPr>
          <w:sz w:val="24"/>
        </w:rPr>
        <w:t xml:space="preserve">Current Activities </w:t>
      </w:r>
    </w:p>
    <w:p>
      <w:pPr>
        <w:pStyle w:val="Heading6"/>
        <w:ind w:hanging="0" w:start="0"/>
        <w:rPr>
          <w:b w:val="false"/>
          <w:sz w:val="24"/>
        </w:rPr>
      </w:pPr>
      <w:r>
        <w:rPr>
          <w:b w:val="false"/>
          <w:sz w:val="24"/>
        </w:rPr>
        <w:t>Recent meetings have covered such topics as:</w:t>
      </w:r>
    </w:p>
    <w:p>
      <w:pPr>
        <w:pStyle w:val="Heading6"/>
        <w:numPr>
          <w:ilvl w:val="0"/>
          <w:numId w:val="38"/>
        </w:numPr>
        <w:rPr>
          <w:b w:val="false"/>
        </w:rPr>
      </w:pPr>
      <w:r>
        <w:rPr>
          <w:b w:val="false"/>
          <w:sz w:val="24"/>
        </w:rPr>
        <w:t>The Blue Range Resource Corporation Case</w:t>
      </w:r>
    </w:p>
    <w:p>
      <w:pPr>
        <w:pStyle w:val="Heading6"/>
        <w:numPr>
          <w:ilvl w:val="0"/>
          <w:numId w:val="67"/>
        </w:numPr>
        <w:rPr>
          <w:b w:val="false"/>
        </w:rPr>
      </w:pPr>
      <w:r>
        <w:rPr>
          <w:b w:val="false"/>
          <w:sz w:val="24"/>
        </w:rPr>
        <w:t>ISDA Documentation Initiatives</w:t>
      </w:r>
    </w:p>
    <w:p>
      <w:pPr>
        <w:pStyle w:val="Heading6"/>
        <w:numPr>
          <w:ilvl w:val="0"/>
          <w:numId w:val="67"/>
        </w:numPr>
        <w:rPr>
          <w:b w:val="false"/>
        </w:rPr>
      </w:pPr>
      <w:r>
        <w:rPr>
          <w:b w:val="false"/>
          <w:sz w:val="24"/>
        </w:rPr>
        <w:t>Provincial Regulatory Updates</w:t>
      </w:r>
    </w:p>
    <w:p>
      <w:pPr>
        <w:pStyle w:val="Heading6"/>
        <w:numPr>
          <w:ilvl w:val="0"/>
          <w:numId w:val="67"/>
        </w:numPr>
        <w:rPr>
          <w:b w:val="false"/>
        </w:rPr>
      </w:pPr>
      <w:r>
        <w:rPr>
          <w:b w:val="false"/>
          <w:sz w:val="24"/>
        </w:rPr>
        <w:t>New Mutual Fund Rules on Derivatives</w:t>
      </w:r>
    </w:p>
    <w:p>
      <w:pPr>
        <w:pStyle w:val="Heading6"/>
        <w:numPr>
          <w:ilvl w:val="0"/>
          <w:numId w:val="67"/>
        </w:numPr>
        <w:rPr>
          <w:b w:val="false"/>
        </w:rPr>
      </w:pPr>
      <w:r>
        <w:rPr>
          <w:b w:val="false"/>
          <w:sz w:val="24"/>
        </w:rPr>
        <w:t xml:space="preserve">Canadian OSFI Credit Derivatives Proposal </w:t>
      </w:r>
    </w:p>
    <w:p>
      <w:pPr>
        <w:pStyle w:val="Heading6"/>
        <w:numPr>
          <w:ilvl w:val="0"/>
          <w:numId w:val="67"/>
        </w:numPr>
        <w:rPr>
          <w:b w:val="false"/>
        </w:rPr>
      </w:pPr>
      <w:r>
        <w:rPr>
          <w:b w:val="false"/>
          <w:sz w:val="24"/>
        </w:rPr>
        <w:t>E-Commerce Initiatives</w:t>
      </w:r>
    </w:p>
    <w:p>
      <w:pPr>
        <w:pStyle w:val="Heading6"/>
        <w:ind w:hanging="0" w:start="0"/>
        <w:rPr>
          <w:b w:val="false"/>
        </w:rPr>
      </w:pPr>
      <w:r>
        <w:rPr>
          <w:b w:val="false"/>
          <w:sz w:val="24"/>
        </w:rPr>
        <w:t>In July, ISDA held a conference in Toronto that focused on the specific interests of our Canadian members.</w:t>
      </w:r>
    </w:p>
    <w:p>
      <w:pPr>
        <w:pStyle w:val="BlockText"/>
        <w:tabs>
          <w:tab w:val="clear" w:pos="720"/>
          <w:tab w:val="left" w:pos="7797" w:leader="none"/>
        </w:tabs>
        <w:ind w:start="0" w:end="85"/>
        <w:rPr>
          <w:b/>
        </w:rPr>
      </w:pPr>
      <w:r>
        <w:rPr>
          <w:b/>
        </w:rPr>
      </w:r>
    </w:p>
    <w:p>
      <w:pPr>
        <w:pStyle w:val="BlockText"/>
        <w:tabs>
          <w:tab w:val="clear" w:pos="720"/>
          <w:tab w:val="left" w:pos="7797" w:leader="none"/>
        </w:tabs>
        <w:ind w:start="0" w:end="85"/>
        <w:rPr/>
      </w:pPr>
      <w:r>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Normal"/>
        <w:spacing w:lineRule="auto" w:line="360"/>
        <w:jc w:val="center"/>
        <w:rPr>
          <w:b/>
          <w:sz w:val="24"/>
        </w:rPr>
      </w:pPr>
      <w:r>
        <w:rPr>
          <w:b/>
          <w:sz w:val="24"/>
        </w:rPr>
      </w:r>
    </w:p>
    <w:p>
      <w:pPr>
        <w:pStyle w:val="Heading2"/>
        <w:spacing w:lineRule="auto" w:line="240"/>
        <w:ind w:hanging="0" w:start="0"/>
        <w:rPr>
          <w:sz w:val="28"/>
        </w:rPr>
      </w:pPr>
      <w:r>
        <w:rPr>
          <w:sz w:val="28"/>
        </w:rPr>
        <w:t>Collateral Committee</w:t>
      </w:r>
    </w:p>
    <w:p>
      <w:pPr>
        <w:pStyle w:val="Normal"/>
        <w:jc w:val="center"/>
        <w:rPr>
          <w:sz w:val="24"/>
        </w:rPr>
      </w:pPr>
      <w:r>
        <w:rPr>
          <w:sz w:val="24"/>
        </w:rPr>
        <w:t>Chairs: Robert McWilliam, ABN Amro Bank,</w:t>
      </w:r>
    </w:p>
    <w:p>
      <w:pPr>
        <w:pStyle w:val="Normal"/>
        <w:jc w:val="center"/>
        <w:rPr>
          <w:sz w:val="24"/>
        </w:rPr>
      </w:pPr>
      <w:r>
        <w:rPr>
          <w:sz w:val="24"/>
        </w:rPr>
        <w:t>David Maloy UBS Warburg</w:t>
      </w:r>
    </w:p>
    <w:p>
      <w:pPr>
        <w:pStyle w:val="Normal"/>
        <w:ind w:end="992"/>
        <w:rPr>
          <w:sz w:val="24"/>
        </w:rPr>
      </w:pPr>
      <w:r>
        <w:rPr>
          <w:sz w:val="24"/>
        </w:rPr>
      </w:r>
    </w:p>
    <w:p>
      <w:pPr>
        <w:pStyle w:val="Heading4"/>
        <w:rPr>
          <w:sz w:val="24"/>
        </w:rPr>
      </w:pPr>
      <w:r>
        <w:rPr>
          <w:sz w:val="24"/>
        </w:rPr>
        <w:t>Overview</w:t>
      </w:r>
    </w:p>
    <w:p>
      <w:pPr>
        <w:pStyle w:val="Normal"/>
        <w:ind w:end="992"/>
        <w:rPr>
          <w:sz w:val="24"/>
        </w:rPr>
      </w:pPr>
      <w:r>
        <w:rPr>
          <w:sz w:val="24"/>
        </w:rPr>
      </w:r>
    </w:p>
    <w:p>
      <w:pPr>
        <w:pStyle w:val="Normal"/>
        <w:jc w:val="both"/>
        <w:rPr>
          <w:sz w:val="24"/>
        </w:rPr>
      </w:pPr>
      <w:r>
        <w:rPr>
          <w:sz w:val="24"/>
        </w:rPr>
        <w:t>The Collateral Committee has had a landmark year with the publication of the ISDA Collateral Survey 2000, reflecting the dramatic growth of collateral as a credit risk mitigation tool -- already well established in the US and incipiently in Europe. The committee’s aims are to facilitate ongoing constructive discussion between the industry and regulators in those regions where legislation is prohibitive to development of the market, and to persist in its efforts to facilitate common standards. Encouraging signs include the involvement of the European Commission, which is taking steps to increase legal certainty in the use of collateral within member states.</w:t>
      </w:r>
    </w:p>
    <w:p>
      <w:pPr>
        <w:pStyle w:val="BlockText"/>
        <w:tabs>
          <w:tab w:val="clear" w:pos="720"/>
          <w:tab w:val="left" w:pos="7797" w:leader="none"/>
        </w:tabs>
        <w:ind w:end="85"/>
        <w:rPr>
          <w:sz w:val="24"/>
        </w:rPr>
      </w:pPr>
      <w:r>
        <w:rPr>
          <w:sz w:val="24"/>
        </w:rPr>
      </w:r>
    </w:p>
    <w:p>
      <w:pPr>
        <w:pStyle w:val="BlockText"/>
        <w:tabs>
          <w:tab w:val="clear" w:pos="720"/>
          <w:tab w:val="left" w:pos="7797" w:leader="none"/>
        </w:tabs>
        <w:ind w:start="0" w:end="85"/>
        <w:rPr>
          <w:b/>
        </w:rPr>
      </w:pPr>
      <w:r>
        <w:rPr>
          <w:b/>
        </w:rPr>
        <w:t>Current Activities</w:t>
      </w:r>
    </w:p>
    <w:p>
      <w:pPr>
        <w:pStyle w:val="BlockText"/>
        <w:tabs>
          <w:tab w:val="clear" w:pos="720"/>
          <w:tab w:val="left" w:pos="7797" w:leader="none"/>
        </w:tabs>
        <w:ind w:start="0" w:end="85"/>
        <w:rPr/>
      </w:pPr>
      <w:r>
        <w:rPr/>
      </w:r>
    </w:p>
    <w:p>
      <w:pPr>
        <w:pStyle w:val="Normal"/>
        <w:numPr>
          <w:ilvl w:val="0"/>
          <w:numId w:val="49"/>
        </w:numPr>
        <w:jc w:val="both"/>
        <w:rPr>
          <w:sz w:val="24"/>
        </w:rPr>
      </w:pPr>
      <w:r>
        <w:rPr>
          <w:sz w:val="24"/>
        </w:rPr>
        <w:t xml:space="preserve">September collateral offsite meeting to review responses to the 2000 Survey with a view to implementation of issues raised, including simplification of definitions and language including a revised Users’ Guide, and of the documentation process. </w:t>
      </w:r>
      <w:r>
        <w:rPr>
          <w:b/>
          <w:sz w:val="24"/>
          <w:u w:val="single"/>
        </w:rPr>
        <w:t>Timing: Spring 2001</w:t>
      </w:r>
    </w:p>
    <w:p>
      <w:pPr>
        <w:pStyle w:val="Normal"/>
        <w:numPr>
          <w:ilvl w:val="0"/>
          <w:numId w:val="49"/>
        </w:numPr>
        <w:jc w:val="both"/>
        <w:rPr>
          <w:sz w:val="24"/>
        </w:rPr>
      </w:pPr>
      <w:r>
        <w:rPr>
          <w:sz w:val="24"/>
        </w:rPr>
        <w:t>Monitoring and informing the progress of the European Union collateral directive, and of related industry initiatives</w:t>
        <w:tab/>
        <w:t xml:space="preserve">. </w:t>
      </w:r>
      <w:r>
        <w:rPr>
          <w:b/>
          <w:sz w:val="24"/>
          <w:u w:val="single"/>
        </w:rPr>
        <w:t>Timing: ongoing</w:t>
      </w:r>
    </w:p>
    <w:p>
      <w:pPr>
        <w:pStyle w:val="Normal"/>
        <w:numPr>
          <w:ilvl w:val="0"/>
          <w:numId w:val="49"/>
        </w:numPr>
        <w:jc w:val="both"/>
        <w:rPr>
          <w:sz w:val="24"/>
        </w:rPr>
      </w:pPr>
      <w:r>
        <w:rPr>
          <w:sz w:val="24"/>
        </w:rPr>
        <w:t xml:space="preserve">Promulgating risk management systems and procedures in collateral management, with particular attention to automated solutions. </w:t>
      </w:r>
      <w:r>
        <w:rPr>
          <w:b/>
          <w:sz w:val="24"/>
          <w:u w:val="single"/>
        </w:rPr>
        <w:t>Timing: ongoing</w:t>
      </w:r>
    </w:p>
    <w:p>
      <w:pPr>
        <w:pStyle w:val="Normal"/>
        <w:numPr>
          <w:ilvl w:val="0"/>
          <w:numId w:val="49"/>
        </w:numPr>
        <w:jc w:val="both"/>
        <w:rPr>
          <w:sz w:val="24"/>
        </w:rPr>
      </w:pPr>
      <w:r>
        <w:rPr>
          <w:sz w:val="24"/>
        </w:rPr>
        <w:t xml:space="preserve">Monitoring integration of related functions repo, securities lending, exchange margining within institutions, and inclusion in the cross-product master agreement. </w:t>
      </w:r>
      <w:r>
        <w:rPr>
          <w:b/>
          <w:sz w:val="24"/>
          <w:u w:val="single"/>
        </w:rPr>
        <w:t>Timing: ongoing</w:t>
      </w:r>
    </w:p>
    <w:p>
      <w:pPr>
        <w:pStyle w:val="Normal"/>
        <w:numPr>
          <w:ilvl w:val="0"/>
          <w:numId w:val="49"/>
        </w:numPr>
        <w:jc w:val="both"/>
        <w:rPr>
          <w:sz w:val="24"/>
        </w:rPr>
      </w:pPr>
      <w:r>
        <w:rPr>
          <w:sz w:val="24"/>
        </w:rPr>
        <w:t xml:space="preserve">Working towards event-driven processing, real-time settlement and associated development of STP infrastructure/protocols, including web-based data exchange. </w:t>
      </w:r>
      <w:r>
        <w:rPr>
          <w:b/>
          <w:sz w:val="24"/>
          <w:u w:val="single"/>
        </w:rPr>
        <w:t>Timing: ongoing</w:t>
      </w:r>
    </w:p>
    <w:p>
      <w:pPr>
        <w:pStyle w:val="Normal"/>
        <w:numPr>
          <w:ilvl w:val="0"/>
          <w:numId w:val="49"/>
        </w:numPr>
        <w:jc w:val="both"/>
        <w:rPr>
          <w:sz w:val="24"/>
        </w:rPr>
      </w:pPr>
      <w:r>
        <w:rPr>
          <w:sz w:val="24"/>
        </w:rPr>
        <w:t xml:space="preserve">Working towards more efficient multiple market access in order to facilitate globalisation. </w:t>
      </w:r>
      <w:r>
        <w:rPr>
          <w:b/>
          <w:sz w:val="24"/>
          <w:u w:val="single"/>
        </w:rPr>
        <w:t>Timing: ongoing</w:t>
      </w:r>
    </w:p>
    <w:p>
      <w:pPr>
        <w:pStyle w:val="Normal"/>
        <w:jc w:val="both"/>
        <w:rPr>
          <w:sz w:val="24"/>
        </w:rPr>
      </w:pPr>
      <w:r>
        <w:rPr>
          <w:sz w:val="24"/>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Normal"/>
        <w:spacing w:lineRule="auto" w:line="360"/>
        <w:jc w:val="center"/>
        <w:rPr>
          <w:b/>
          <w:sz w:val="24"/>
        </w:rPr>
      </w:pPr>
      <w:r>
        <w:rPr>
          <w:b/>
          <w:sz w:val="24"/>
        </w:rPr>
      </w:r>
    </w:p>
    <w:p>
      <w:pPr>
        <w:pStyle w:val="Heading"/>
        <w:rPr>
          <w:sz w:val="28"/>
        </w:rPr>
      </w:pPr>
      <w:r>
        <w:rPr>
          <w:sz w:val="28"/>
        </w:rPr>
        <w:t>Documentation Committee</w:t>
      </w:r>
    </w:p>
    <w:p>
      <w:pPr>
        <w:pStyle w:val="Heading5"/>
        <w:ind w:hanging="0" w:start="0"/>
        <w:rPr/>
      </w:pPr>
      <w:r>
        <w:rPr/>
        <w:t>Chairs: Chip Goodrich, Deutsche Bank</w:t>
      </w:r>
    </w:p>
    <w:p>
      <w:pPr>
        <w:pStyle w:val="Heading5"/>
        <w:ind w:hanging="0" w:start="0"/>
        <w:rPr/>
      </w:pPr>
      <w:r>
        <w:rPr/>
        <w:t xml:space="preserve"> </w:t>
      </w:r>
      <w:r>
        <w:rPr/>
        <w:t>Teruo Tanaka, Industrial Bank of Japan, Ltd.</w:t>
      </w:r>
    </w:p>
    <w:p>
      <w:pPr>
        <w:pStyle w:val="Heading5"/>
        <w:ind w:hanging="0" w:start="0"/>
        <w:rPr/>
      </w:pPr>
      <w:r>
        <w:rPr/>
        <w:t>Don Thompson, J.P. Morgan</w:t>
      </w:r>
    </w:p>
    <w:p>
      <w:pPr>
        <w:pStyle w:val="Normal"/>
        <w:jc w:val="center"/>
        <w:rPr>
          <w:sz w:val="24"/>
        </w:rPr>
      </w:pPr>
      <w:r>
        <w:rPr>
          <w:sz w:val="24"/>
        </w:rPr>
        <w:t>European Co-Chair: Vacant</w:t>
      </w:r>
    </w:p>
    <w:p>
      <w:pPr>
        <w:pStyle w:val="Heading4"/>
        <w:jc w:val="both"/>
        <w:rPr>
          <w:sz w:val="24"/>
        </w:rPr>
      </w:pPr>
      <w:r>
        <w:rPr>
          <w:sz w:val="24"/>
        </w:rPr>
        <w:t>Overview</w:t>
      </w:r>
    </w:p>
    <w:p>
      <w:pPr>
        <w:pStyle w:val="Normal"/>
        <w:ind w:end="992"/>
        <w:jc w:val="both"/>
        <w:rPr>
          <w:sz w:val="24"/>
        </w:rPr>
      </w:pPr>
      <w:r>
        <w:rPr>
          <w:sz w:val="24"/>
        </w:rPr>
      </w:r>
    </w:p>
    <w:p>
      <w:pPr>
        <w:pStyle w:val="Normal"/>
        <w:jc w:val="both"/>
        <w:rPr>
          <w:sz w:val="24"/>
        </w:rPr>
      </w:pPr>
      <w:r>
        <w:rPr>
          <w:sz w:val="24"/>
        </w:rPr>
        <w:t>The Documentation Committee is responsible for the development and updating of ISDA documents and for the obtaining of netting and collateral opinions. The Committee has periodic meetings in New York and London. A similar committee has been formed in Tokyo, and the Committee receives input from the Legal and Regulatory Committees of the Hong Kong and South East Asia Committee and the Canadian Steering Committee. The Committee has chairs in Japan, North America and Europe.</w:t>
      </w:r>
    </w:p>
    <w:p>
      <w:pPr>
        <w:pStyle w:val="Normal"/>
        <w:jc w:val="both"/>
        <w:rPr>
          <w:sz w:val="24"/>
        </w:rPr>
      </w:pPr>
      <w:r>
        <w:rPr>
          <w:sz w:val="24"/>
        </w:rPr>
      </w:r>
    </w:p>
    <w:p>
      <w:pPr>
        <w:pStyle w:val="Normal"/>
        <w:jc w:val="both"/>
        <w:rPr>
          <w:sz w:val="24"/>
        </w:rPr>
      </w:pPr>
      <w:r>
        <w:rPr>
          <w:sz w:val="24"/>
        </w:rPr>
        <w:t>Currently 900 representatives of member institutions are registered on the Documentation Committee. Accordingly, much of the work of the Documentation Committee is carried out by smaller task forces or working groups that are formed to work on specific projects. Where a smaller group is formed, the work of that group is subject to the review and comment of the Documentation Committee as a whole.</w:t>
      </w:r>
    </w:p>
    <w:p>
      <w:pPr>
        <w:pStyle w:val="Normal"/>
        <w:jc w:val="both"/>
        <w:rPr>
          <w:sz w:val="24"/>
        </w:rPr>
      </w:pPr>
      <w:r>
        <w:rPr>
          <w:sz w:val="24"/>
        </w:rPr>
      </w:r>
    </w:p>
    <w:p>
      <w:pPr>
        <w:pStyle w:val="Heading1"/>
        <w:ind w:hanging="0" w:start="0"/>
        <w:rPr>
          <w:b/>
          <w:sz w:val="24"/>
          <w:u w:val="none"/>
        </w:rPr>
      </w:pPr>
      <w:r>
        <w:rPr>
          <w:b/>
          <w:sz w:val="24"/>
          <w:u w:val="none"/>
        </w:rPr>
        <w:t>Current Activities</w:t>
      </w:r>
    </w:p>
    <w:p>
      <w:pPr>
        <w:pStyle w:val="Normal"/>
        <w:jc w:val="both"/>
        <w:rPr>
          <w:b/>
          <w:sz w:val="24"/>
          <w:u w:val="none"/>
        </w:rPr>
      </w:pPr>
      <w:r>
        <w:rPr>
          <w:b/>
          <w:sz w:val="24"/>
          <w:u w:val="none"/>
        </w:rPr>
      </w:r>
    </w:p>
    <w:p>
      <w:pPr>
        <w:pStyle w:val="Heading6"/>
        <w:ind w:hanging="0" w:start="0"/>
        <w:rPr>
          <w:sz w:val="24"/>
        </w:rPr>
      </w:pPr>
      <w:r>
        <w:rPr>
          <w:sz w:val="24"/>
        </w:rPr>
        <w:t>Master Agreement</w:t>
      </w:r>
    </w:p>
    <w:p>
      <w:pPr>
        <w:pStyle w:val="Normal"/>
        <w:jc w:val="both"/>
        <w:rPr>
          <w:sz w:val="24"/>
        </w:rPr>
      </w:pPr>
      <w:r>
        <w:rPr>
          <w:sz w:val="24"/>
        </w:rPr>
        <w:t>Three current projects, all part of the Strategic Documentation Review, affect the ISDA Master Agreement:</w:t>
      </w:r>
    </w:p>
    <w:p>
      <w:pPr>
        <w:pStyle w:val="Normal"/>
        <w:numPr>
          <w:ilvl w:val="0"/>
          <w:numId w:val="66"/>
        </w:numPr>
        <w:jc w:val="both"/>
        <w:rPr>
          <w:sz w:val="24"/>
        </w:rPr>
      </w:pPr>
      <w:r>
        <w:rPr>
          <w:sz w:val="24"/>
        </w:rPr>
        <w:t>Review of Sections 5 and 6, which address the termination, valuation and close-out mechanics of the Master Agreement.</w:t>
      </w:r>
    </w:p>
    <w:p>
      <w:pPr>
        <w:pStyle w:val="Normal"/>
        <w:numPr>
          <w:ilvl w:val="0"/>
          <w:numId w:val="70"/>
        </w:numPr>
        <w:jc w:val="both"/>
        <w:rPr>
          <w:sz w:val="24"/>
        </w:rPr>
      </w:pPr>
      <w:r>
        <w:rPr>
          <w:sz w:val="24"/>
        </w:rPr>
        <w:t xml:space="preserve">Inclusion of provisions to address impossibility and force majeure events. </w:t>
      </w:r>
    </w:p>
    <w:p>
      <w:pPr>
        <w:pStyle w:val="BodyText3"/>
        <w:rPr/>
      </w:pPr>
      <w:r>
        <w:rPr/>
        <w:t>Consideration of approaches to achieve cross-product netting, including a single master agreement, a master master agreement or bridges between masters.</w:t>
      </w:r>
    </w:p>
    <w:p>
      <w:pPr>
        <w:pStyle w:val="Normal"/>
        <w:jc w:val="both"/>
        <w:rPr>
          <w:b/>
          <w:sz w:val="24"/>
          <w:u w:val="single"/>
        </w:rPr>
      </w:pPr>
      <w:r>
        <w:rPr>
          <w:b/>
          <w:sz w:val="24"/>
          <w:u w:val="single"/>
        </w:rPr>
        <w:t>Timing: Each of these projects is expected to be completed by the fall, with the goal of implementing the changes via a protocol beginning in the fourth quarter</w:t>
      </w:r>
    </w:p>
    <w:p>
      <w:pPr>
        <w:pStyle w:val="Normal"/>
        <w:jc w:val="both"/>
        <w:rPr>
          <w:b/>
          <w:sz w:val="24"/>
          <w:u w:val="single"/>
        </w:rPr>
      </w:pPr>
      <w:r>
        <w:rPr>
          <w:b/>
          <w:sz w:val="24"/>
          <w:u w:val="single"/>
        </w:rPr>
      </w:r>
    </w:p>
    <w:p>
      <w:pPr>
        <w:pStyle w:val="Normal"/>
        <w:jc w:val="both"/>
        <w:rPr>
          <w:b/>
          <w:sz w:val="24"/>
        </w:rPr>
      </w:pPr>
      <w:r>
        <w:rPr>
          <w:b/>
          <w:sz w:val="24"/>
        </w:rPr>
        <w:t>Collateral Documents</w:t>
      </w:r>
    </w:p>
    <w:p>
      <w:pPr>
        <w:pStyle w:val="Normal"/>
        <w:jc w:val="both"/>
        <w:rPr>
          <w:sz w:val="24"/>
        </w:rPr>
      </w:pPr>
      <w:r>
        <w:rPr>
          <w:sz w:val="24"/>
        </w:rPr>
        <w:t>Working with the Collateral Committee, the Documentation Committee is considering a complete restructuring of its existing documentation for credit support arrangements, based on the recommendations originally presented in the ISDA 1999 Collateral Review. An exposure draft of the revised document was published at the Amsterdam AGM and a number of comments have been received. The group also intends to produce a form of amendment to the existing ISDA credit support documents that will permit parties to include many of the proposed changes without the need to completely restructure the document.</w:t>
      </w:r>
    </w:p>
    <w:p>
      <w:pPr>
        <w:pStyle w:val="Heading7"/>
        <w:ind w:hanging="0" w:start="0"/>
        <w:rPr/>
      </w:pPr>
      <w:r>
        <w:rPr/>
        <w:t>Timing: Year-end 2000</w:t>
      </w:r>
    </w:p>
    <w:p>
      <w:pPr>
        <w:pStyle w:val="Normal"/>
        <w:jc w:val="both"/>
        <w:rPr>
          <w:b/>
          <w:sz w:val="24"/>
        </w:rPr>
      </w:pPr>
      <w:r>
        <w:rPr>
          <w:b/>
          <w:sz w:val="24"/>
        </w:rPr>
      </w:r>
    </w:p>
    <w:p>
      <w:pPr>
        <w:pStyle w:val="Normal"/>
        <w:jc w:val="both"/>
        <w:rPr>
          <w:b/>
          <w:sz w:val="24"/>
        </w:rPr>
      </w:pPr>
      <w:r>
        <w:rPr>
          <w:b/>
          <w:sz w:val="24"/>
        </w:rPr>
        <w:t>Credit Derivatives</w:t>
      </w:r>
    </w:p>
    <w:p>
      <w:pPr>
        <w:pStyle w:val="Normal"/>
        <w:jc w:val="both"/>
        <w:rPr>
          <w:sz w:val="24"/>
        </w:rPr>
      </w:pPr>
      <w:r>
        <w:rPr>
          <w:sz w:val="24"/>
        </w:rPr>
        <w:t>Three projects are either underway or proposed relating to ISDA’s credit derivatives documentation:</w:t>
      </w:r>
    </w:p>
    <w:p>
      <w:pPr>
        <w:pStyle w:val="Normal"/>
        <w:numPr>
          <w:ilvl w:val="0"/>
          <w:numId w:val="61"/>
        </w:numPr>
        <w:jc w:val="both"/>
        <w:rPr>
          <w:sz w:val="24"/>
        </w:rPr>
      </w:pPr>
      <w:r>
        <w:rPr>
          <w:sz w:val="24"/>
        </w:rPr>
        <w:t>A user’s guide to the 1999 Credit Derivatives Definitions is currently under review by a task force of interested members.</w:t>
      </w:r>
    </w:p>
    <w:p>
      <w:pPr>
        <w:pStyle w:val="Normal"/>
        <w:numPr>
          <w:ilvl w:val="0"/>
          <w:numId w:val="39"/>
        </w:numPr>
        <w:jc w:val="both"/>
        <w:rPr>
          <w:sz w:val="24"/>
        </w:rPr>
      </w:pPr>
      <w:r>
        <w:rPr>
          <w:sz w:val="24"/>
        </w:rPr>
        <w:t>A supplement to the 1999 Definitions is being discussed. The supplement would principally look at issues relating to the delivery of loans in settlement of a credit default swap.</w:t>
      </w:r>
    </w:p>
    <w:p>
      <w:pPr>
        <w:pStyle w:val="Normal"/>
        <w:jc w:val="both"/>
        <w:rPr>
          <w:sz w:val="24"/>
        </w:rPr>
      </w:pPr>
      <w:r>
        <w:rPr>
          <w:sz w:val="24"/>
        </w:rPr>
        <w:t>Documentation for other product areas (e.g., total rate of return swaps) has been proposed, but the first two items listed are recognized as a greater priority.</w:t>
      </w:r>
    </w:p>
    <w:p>
      <w:pPr>
        <w:pStyle w:val="Heading8"/>
        <w:ind w:hanging="0" w:start="0"/>
        <w:rPr>
          <w:sz w:val="24"/>
        </w:rPr>
      </w:pPr>
      <w:r>
        <w:rPr>
          <w:sz w:val="24"/>
        </w:rPr>
        <w:t>Timing: Fall for the user’s guide; end of year for a supplement</w:t>
      </w:r>
    </w:p>
    <w:p>
      <w:pPr>
        <w:pStyle w:val="Normal"/>
        <w:jc w:val="both"/>
        <w:rPr>
          <w:sz w:val="24"/>
        </w:rPr>
      </w:pPr>
      <w:r>
        <w:rPr>
          <w:sz w:val="24"/>
        </w:rPr>
      </w:r>
    </w:p>
    <w:p>
      <w:pPr>
        <w:pStyle w:val="Heading6"/>
        <w:ind w:hanging="0" w:start="0"/>
        <w:rPr>
          <w:sz w:val="24"/>
        </w:rPr>
      </w:pPr>
      <w:r>
        <w:rPr>
          <w:sz w:val="24"/>
        </w:rPr>
        <w:t>Interest Rate and Currency Documents</w:t>
      </w:r>
    </w:p>
    <w:p>
      <w:pPr>
        <w:pStyle w:val="Normal"/>
        <w:jc w:val="both"/>
        <w:rPr>
          <w:sz w:val="24"/>
        </w:rPr>
      </w:pPr>
      <w:r>
        <w:rPr>
          <w:sz w:val="24"/>
        </w:rPr>
        <w:t>The 2000 ISDA Definitions have now been published. Currencies and rates are produced in a separate supplement, and it is intended that those would be updated periodically as needed. In addition, efforts will be made to provide education about the details of the document, particularly the cash settlement and option exercise provisions.</w:t>
      </w:r>
    </w:p>
    <w:p>
      <w:pPr>
        <w:pStyle w:val="Normal"/>
        <w:jc w:val="both"/>
        <w:rPr>
          <w:b/>
          <w:sz w:val="24"/>
          <w:u w:val="single"/>
        </w:rPr>
      </w:pPr>
      <w:r>
        <w:rPr>
          <w:b/>
          <w:sz w:val="24"/>
          <w:u w:val="single"/>
        </w:rPr>
        <w:t>Timing: Updates periodically as needed; informational meetings to be organized in the fall.</w:t>
      </w:r>
    </w:p>
    <w:p>
      <w:pPr>
        <w:pStyle w:val="Normal"/>
        <w:jc w:val="both"/>
        <w:rPr>
          <w:b/>
          <w:sz w:val="24"/>
          <w:u w:val="single"/>
        </w:rPr>
      </w:pPr>
      <w:r>
        <w:rPr>
          <w:b/>
          <w:sz w:val="24"/>
          <w:u w:val="single"/>
        </w:rPr>
      </w:r>
    </w:p>
    <w:p>
      <w:pPr>
        <w:pStyle w:val="Heading6"/>
        <w:ind w:hanging="0" w:start="0"/>
        <w:rPr>
          <w:sz w:val="24"/>
        </w:rPr>
      </w:pPr>
      <w:r>
        <w:rPr>
          <w:sz w:val="24"/>
        </w:rPr>
        <w:t>FX and Currency Option Definitions</w:t>
      </w:r>
    </w:p>
    <w:p>
      <w:pPr>
        <w:pStyle w:val="Normal"/>
        <w:jc w:val="both"/>
        <w:rPr>
          <w:sz w:val="24"/>
        </w:rPr>
      </w:pPr>
      <w:r>
        <w:rPr>
          <w:sz w:val="24"/>
        </w:rPr>
        <w:t>Annex A has been under review by the three sponsoring entities (ISDA, EMTA and the Foreign Exchange Committee) for additional changes and will be made available on the internet.</w:t>
      </w:r>
    </w:p>
    <w:p>
      <w:pPr>
        <w:pStyle w:val="Heading8"/>
        <w:ind w:hanging="0" w:start="0"/>
        <w:rPr>
          <w:sz w:val="24"/>
        </w:rPr>
      </w:pPr>
      <w:r>
        <w:rPr>
          <w:sz w:val="24"/>
        </w:rPr>
        <w:t>Timing: September 2000</w:t>
      </w:r>
    </w:p>
    <w:p>
      <w:pPr>
        <w:pStyle w:val="Normal"/>
        <w:jc w:val="both"/>
        <w:rPr>
          <w:sz w:val="24"/>
        </w:rPr>
      </w:pPr>
      <w:r>
        <w:rPr>
          <w:sz w:val="24"/>
        </w:rPr>
      </w:r>
    </w:p>
    <w:p>
      <w:pPr>
        <w:pStyle w:val="Heading6"/>
        <w:ind w:hanging="0" w:start="0"/>
        <w:rPr>
          <w:sz w:val="24"/>
        </w:rPr>
      </w:pPr>
      <w:r>
        <w:rPr>
          <w:sz w:val="24"/>
        </w:rPr>
        <w:t>Other Documents</w:t>
      </w:r>
    </w:p>
    <w:p>
      <w:pPr>
        <w:pStyle w:val="BodyText3"/>
        <w:rPr/>
      </w:pPr>
      <w:r>
        <w:rPr/>
        <w:t>While there is not currently a project relating to the Commodity Derivatives Definitions or the Equity Derivatives Definitions, several possible projects have been suggested:</w:t>
      </w:r>
    </w:p>
    <w:p>
      <w:pPr>
        <w:pStyle w:val="Normal"/>
        <w:numPr>
          <w:ilvl w:val="0"/>
          <w:numId w:val="76"/>
        </w:numPr>
        <w:jc w:val="both"/>
        <w:rPr>
          <w:sz w:val="24"/>
        </w:rPr>
      </w:pPr>
      <w:r>
        <w:rPr>
          <w:sz w:val="24"/>
          <w:u w:val="single"/>
        </w:rPr>
        <w:t>Commodity</w:t>
      </w:r>
      <w:r>
        <w:rPr>
          <w:sz w:val="24"/>
        </w:rPr>
        <w:t>: Forms of documentation for weather derivatives and coordination with documentation for physical delivery of electricity have been suggested.</w:t>
      </w:r>
    </w:p>
    <w:p>
      <w:pPr>
        <w:pStyle w:val="Normal"/>
        <w:jc w:val="both"/>
        <w:rPr/>
      </w:pPr>
      <w:r>
        <w:rPr>
          <w:sz w:val="24"/>
          <w:u w:val="single"/>
        </w:rPr>
        <w:t>Equity</w:t>
      </w:r>
      <w:r>
        <w:rPr>
          <w:sz w:val="24"/>
        </w:rPr>
        <w:t>: While some have suggested a complete rewrite of the Definitions, others have focused on the need to revisit specific issues, such as the treatment of merger events</w:t>
      </w:r>
    </w:p>
    <w:p>
      <w:pPr>
        <w:pStyle w:val="Normal"/>
        <w:jc w:val="both"/>
        <w:rPr>
          <w:b/>
          <w:sz w:val="24"/>
          <w:u w:val="single"/>
        </w:rPr>
      </w:pPr>
      <w:r>
        <w:rPr>
          <w:b/>
          <w:sz w:val="24"/>
          <w:u w:val="single"/>
        </w:rPr>
        <w:t>Timing: No current project</w:t>
      </w:r>
    </w:p>
    <w:p>
      <w:pPr>
        <w:pStyle w:val="Normal"/>
        <w:jc w:val="both"/>
        <w:rPr>
          <w:b/>
          <w:sz w:val="24"/>
          <w:u w:val="single"/>
        </w:rPr>
      </w:pPr>
      <w:r>
        <w:rPr>
          <w:b/>
          <w:sz w:val="24"/>
          <w:u w:val="single"/>
        </w:rPr>
      </w:r>
    </w:p>
    <w:p>
      <w:pPr>
        <w:pStyle w:val="Heading6"/>
        <w:ind w:hanging="0" w:start="0"/>
        <w:rPr>
          <w:sz w:val="24"/>
        </w:rPr>
      </w:pPr>
      <w:r>
        <w:rPr>
          <w:sz w:val="24"/>
        </w:rPr>
        <w:t>Netting Opinions</w:t>
      </w:r>
    </w:p>
    <w:p>
      <w:pPr>
        <w:pStyle w:val="Normal"/>
        <w:jc w:val="both"/>
        <w:rPr>
          <w:sz w:val="24"/>
        </w:rPr>
      </w:pPr>
      <w:r>
        <w:rPr>
          <w:sz w:val="24"/>
        </w:rPr>
        <w:t>Several opinions will be commissioned this year. The likely jurisdictions are Mexico (legislation has recently been passed), Turkey (indications are that netting is enforceable) and Greece (legislation may be necessary). Other jurisdictions that have been mentioned are Israel, British Virgin Islands and Guernsey.</w:t>
      </w:r>
    </w:p>
    <w:p>
      <w:pPr>
        <w:pStyle w:val="Heading8"/>
        <w:ind w:hanging="0" w:start="0"/>
        <w:rPr>
          <w:sz w:val="24"/>
        </w:rPr>
      </w:pPr>
      <w:r>
        <w:rPr>
          <w:sz w:val="24"/>
        </w:rPr>
        <w:t>Timing: Ongoing</w:t>
      </w:r>
    </w:p>
    <w:p>
      <w:pPr>
        <w:pStyle w:val="Normal"/>
        <w:jc w:val="both"/>
        <w:rPr>
          <w:sz w:val="24"/>
        </w:rPr>
      </w:pPr>
      <w:r>
        <w:rPr>
          <w:sz w:val="24"/>
        </w:rPr>
      </w:r>
    </w:p>
    <w:p>
      <w:pPr>
        <w:pStyle w:val="Heading6"/>
        <w:ind w:hanging="0" w:start="0"/>
        <w:rPr>
          <w:sz w:val="24"/>
        </w:rPr>
      </w:pPr>
      <w:r>
        <w:rPr>
          <w:sz w:val="24"/>
        </w:rPr>
        <w:t>Collateral Opinions</w:t>
      </w:r>
    </w:p>
    <w:p>
      <w:pPr>
        <w:pStyle w:val="Normal"/>
        <w:jc w:val="both"/>
        <w:rPr>
          <w:sz w:val="24"/>
        </w:rPr>
      </w:pPr>
      <w:r>
        <w:rPr>
          <w:sz w:val="24"/>
        </w:rPr>
        <w:t>Collateral opinions are pending in Indonesia, Canada and the Netherlands. Opinions are being commissioned in Italy, Spain, Portugal, Austria, Australia, Sweden, Norway, Denmark, Bermuda, Netherlands Antilles, Ireland, South Africa and Finland.</w:t>
      </w:r>
    </w:p>
    <w:p>
      <w:pPr>
        <w:pStyle w:val="Heading8"/>
        <w:ind w:hanging="0" w:start="0"/>
        <w:rPr>
          <w:sz w:val="24"/>
        </w:rPr>
      </w:pPr>
      <w:r>
        <w:rPr>
          <w:sz w:val="24"/>
        </w:rPr>
        <w:t>Timing: Ongoing</w:t>
      </w:r>
    </w:p>
    <w:p>
      <w:pPr>
        <w:pStyle w:val="Normal"/>
        <w:jc w:val="both"/>
        <w:rPr>
          <w:sz w:val="24"/>
        </w:rPr>
      </w:pPr>
      <w:r>
        <w:rPr>
          <w:sz w:val="24"/>
        </w:rPr>
      </w:r>
    </w:p>
    <w:p>
      <w:pPr>
        <w:pStyle w:val="Heading6"/>
        <w:ind w:hanging="0" w:start="0"/>
        <w:rPr>
          <w:sz w:val="24"/>
        </w:rPr>
      </w:pPr>
      <w:r>
        <w:rPr>
          <w:sz w:val="24"/>
        </w:rPr>
        <w:t>Netting Legislation</w:t>
      </w:r>
    </w:p>
    <w:p>
      <w:pPr>
        <w:pStyle w:val="BodyText3"/>
        <w:rPr/>
      </w:pPr>
      <w:r>
        <w:rPr/>
        <w:t>The Documentation Committee continues to take an interest in the development of netting legislation around the world. Current areas of focus are improvements to the insolvency laws in the United States, additional efforts in Latin America and the efforts in Eastern Europe being led by the Emerging Markets Task Force in conjunction with the EBRD.</w:t>
      </w:r>
    </w:p>
    <w:p>
      <w:pPr>
        <w:pStyle w:val="Heading8"/>
        <w:ind w:hanging="0" w:start="0"/>
        <w:rPr>
          <w:sz w:val="24"/>
        </w:rPr>
      </w:pPr>
      <w:r>
        <w:rPr>
          <w:sz w:val="24"/>
        </w:rPr>
        <w:t>Timing: Ongoing</w:t>
      </w:r>
    </w:p>
    <w:p>
      <w:pPr>
        <w:pStyle w:val="Normal"/>
        <w:jc w:val="both"/>
        <w:rPr>
          <w:sz w:val="24"/>
        </w:rPr>
      </w:pPr>
      <w:r>
        <w:rPr>
          <w:sz w:val="24"/>
        </w:rPr>
      </w:r>
    </w:p>
    <w:p>
      <w:pPr>
        <w:pStyle w:val="Heading6"/>
        <w:ind w:hanging="0" w:start="0"/>
        <w:rPr>
          <w:sz w:val="24"/>
        </w:rPr>
      </w:pPr>
      <w:r>
        <w:rPr>
          <w:sz w:val="24"/>
        </w:rPr>
        <w:t>Collateral Legislation</w:t>
      </w:r>
    </w:p>
    <w:p>
      <w:pPr>
        <w:pStyle w:val="Normal"/>
        <w:jc w:val="both"/>
        <w:rPr>
          <w:sz w:val="24"/>
        </w:rPr>
      </w:pPr>
      <w:r>
        <w:rPr>
          <w:sz w:val="24"/>
        </w:rPr>
        <w:t>The efforts of the European Regulatory Committee on the European collateral law reform effort may prove useful in the event similar efforts are undertaken in other jurisdictions</w:t>
      </w:r>
    </w:p>
    <w:p>
      <w:pPr>
        <w:pStyle w:val="Heading8"/>
        <w:ind w:hanging="0" w:start="0"/>
        <w:rPr>
          <w:sz w:val="24"/>
        </w:rPr>
      </w:pPr>
      <w:r>
        <w:rPr>
          <w:sz w:val="24"/>
        </w:rPr>
        <w:t>Timing: No current project</w:t>
      </w:r>
    </w:p>
    <w:p>
      <w:pPr>
        <w:pStyle w:val="BlockText"/>
        <w:tabs>
          <w:tab w:val="clear" w:pos="720"/>
          <w:tab w:val="left" w:pos="7797" w:leader="none"/>
        </w:tabs>
        <w:ind w:start="0" w:end="85"/>
        <w:rPr>
          <w:sz w:val="24"/>
        </w:rPr>
      </w:pPr>
      <w:r>
        <w:rPr>
          <w:sz w:val="24"/>
        </w:rPr>
      </w:r>
    </w:p>
    <w:p>
      <w:pPr>
        <w:pStyle w:val="BlockText"/>
        <w:tabs>
          <w:tab w:val="clear" w:pos="720"/>
          <w:tab w:val="left" w:pos="7797" w:leader="none"/>
        </w:tabs>
        <w:ind w:start="0" w:end="85"/>
        <w:rPr/>
      </w:pPr>
      <w:r>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Normal"/>
        <w:spacing w:lineRule="auto" w:line="360"/>
        <w:jc w:val="center"/>
        <w:rPr>
          <w:b/>
          <w:sz w:val="24"/>
        </w:rPr>
      </w:pPr>
      <w:r>
        <w:rPr>
          <w:b/>
          <w:sz w:val="24"/>
        </w:rPr>
      </w:r>
    </w:p>
    <w:p>
      <w:pPr>
        <w:pStyle w:val="Heading"/>
        <w:rPr>
          <w:sz w:val="28"/>
        </w:rPr>
      </w:pPr>
      <w:r>
        <w:rPr>
          <w:sz w:val="28"/>
        </w:rPr>
        <w:t>Equity Derivatives Committee</w:t>
      </w:r>
    </w:p>
    <w:p>
      <w:pPr>
        <w:pStyle w:val="Heading5"/>
        <w:ind w:hanging="0" w:start="0"/>
        <w:rPr/>
      </w:pPr>
      <w:r>
        <w:rPr/>
        <w:t>Chair: Maurits Schouten, Credit Suisse Financial Products</w:t>
      </w:r>
    </w:p>
    <w:p>
      <w:pPr>
        <w:pStyle w:val="Normal"/>
        <w:ind w:end="992"/>
        <w:rPr>
          <w:sz w:val="24"/>
        </w:rPr>
      </w:pPr>
      <w:r>
        <w:rPr>
          <w:sz w:val="24"/>
        </w:rPr>
      </w:r>
    </w:p>
    <w:p>
      <w:pPr>
        <w:pStyle w:val="Heading4"/>
        <w:jc w:val="both"/>
        <w:rPr>
          <w:sz w:val="24"/>
        </w:rPr>
      </w:pPr>
      <w:r>
        <w:rPr>
          <w:sz w:val="24"/>
        </w:rPr>
        <w:t>Overview</w:t>
      </w:r>
    </w:p>
    <w:p>
      <w:pPr>
        <w:pStyle w:val="Normal"/>
        <w:ind w:end="992"/>
        <w:jc w:val="both"/>
        <w:rPr>
          <w:sz w:val="24"/>
        </w:rPr>
      </w:pPr>
      <w:r>
        <w:rPr>
          <w:sz w:val="24"/>
        </w:rPr>
      </w:r>
    </w:p>
    <w:p>
      <w:pPr>
        <w:pStyle w:val="BodyText"/>
        <w:rPr>
          <w:sz w:val="24"/>
        </w:rPr>
      </w:pPr>
      <w:r>
        <w:rPr>
          <w:sz w:val="24"/>
        </w:rPr>
        <w:t>The Equity Derivatives Committee was one of two new ‘product-oriented’ committees formed by ISDA in the second half of 1999 (the other being the Energy Committee), reflecting the increasing importance to ISDA members of issues specific to relatively specialised markets. The Committee unites front-office, legal and operations specialists. The Committee is also monitoring accounting issues and reviewing training needs.</w:t>
      </w:r>
    </w:p>
    <w:p>
      <w:pPr>
        <w:pStyle w:val="Normal"/>
        <w:jc w:val="both"/>
        <w:rPr>
          <w:sz w:val="24"/>
        </w:rPr>
      </w:pPr>
      <w:r>
        <w:rPr>
          <w:sz w:val="24"/>
        </w:rPr>
      </w:r>
    </w:p>
    <w:p>
      <w:pPr>
        <w:pStyle w:val="Heading1"/>
        <w:ind w:hanging="0" w:start="0"/>
        <w:rPr>
          <w:b/>
          <w:sz w:val="24"/>
          <w:u w:val="none"/>
        </w:rPr>
      </w:pPr>
      <w:r>
        <w:rPr>
          <w:b/>
          <w:sz w:val="24"/>
          <w:u w:val="none"/>
        </w:rPr>
        <w:t>Current Activities</w:t>
      </w:r>
    </w:p>
    <w:p>
      <w:pPr>
        <w:pStyle w:val="Normal"/>
        <w:rPr>
          <w:b/>
          <w:sz w:val="24"/>
          <w:u w:val="none"/>
        </w:rPr>
      </w:pPr>
      <w:r>
        <w:rPr>
          <w:b/>
          <w:sz w:val="24"/>
          <w:u w:val="none"/>
        </w:rPr>
      </w:r>
    </w:p>
    <w:p>
      <w:pPr>
        <w:pStyle w:val="Heading9"/>
        <w:ind w:hanging="0" w:start="0"/>
        <w:rPr>
          <w:u w:val="single"/>
        </w:rPr>
      </w:pPr>
      <w:r>
        <w:rPr>
          <w:u w:val="single"/>
        </w:rPr>
        <w:t>Europe</w:t>
      </w:r>
    </w:p>
    <w:p>
      <w:pPr>
        <w:pStyle w:val="Normal"/>
        <w:jc w:val="both"/>
        <w:rPr>
          <w:sz w:val="24"/>
          <w:u w:val="single"/>
        </w:rPr>
      </w:pPr>
      <w:r>
        <w:rPr>
          <w:sz w:val="24"/>
          <w:u w:val="single"/>
        </w:rPr>
      </w:r>
    </w:p>
    <w:p>
      <w:pPr>
        <w:pStyle w:val="Normal"/>
        <w:jc w:val="both"/>
        <w:rPr>
          <w:sz w:val="24"/>
        </w:rPr>
      </w:pPr>
      <w:r>
        <w:rPr>
          <w:sz w:val="24"/>
        </w:rPr>
        <w:t>In its role as acting as a general forum for the significant number of firms active in the global privately negotiated equity derivatives markets, the Committee has immediately identified two main areas of focus: changes to index calculation methods; corporate event provisions</w:t>
      </w:r>
    </w:p>
    <w:p>
      <w:pPr>
        <w:pStyle w:val="Normal"/>
        <w:jc w:val="both"/>
        <w:rPr>
          <w:sz w:val="24"/>
        </w:rPr>
      </w:pPr>
      <w:r>
        <w:rPr>
          <w:sz w:val="24"/>
        </w:rPr>
      </w:r>
    </w:p>
    <w:p>
      <w:pPr>
        <w:pStyle w:val="BodyText"/>
        <w:rPr>
          <w:b/>
          <w:sz w:val="24"/>
        </w:rPr>
      </w:pPr>
      <w:r>
        <w:rPr>
          <w:b/>
          <w:sz w:val="24"/>
        </w:rPr>
        <w:t xml:space="preserve">Changes to index calculation methods: </w:t>
      </w:r>
    </w:p>
    <w:p>
      <w:pPr>
        <w:pStyle w:val="Normal"/>
        <w:jc w:val="both"/>
        <w:rPr>
          <w:sz w:val="24"/>
        </w:rPr>
      </w:pPr>
      <w:r>
        <w:rPr>
          <w:sz w:val="24"/>
        </w:rPr>
        <w:t xml:space="preserve">When index sponsors change the method of calculating indices for which they are responsible, this has the potential to disrupt over the counter markets, for instance by triggering adjustment provisions included in the Equity Derivatives Definitions. </w:t>
      </w:r>
    </w:p>
    <w:p>
      <w:pPr>
        <w:pStyle w:val="Normal"/>
        <w:jc w:val="both"/>
        <w:rPr>
          <w:sz w:val="24"/>
        </w:rPr>
      </w:pPr>
      <w:r>
        <w:rPr>
          <w:sz w:val="24"/>
        </w:rPr>
      </w:r>
    </w:p>
    <w:p>
      <w:pPr>
        <w:pStyle w:val="Normal"/>
        <w:jc w:val="both"/>
        <w:rPr>
          <w:sz w:val="24"/>
        </w:rPr>
      </w:pPr>
      <w:r>
        <w:rPr>
          <w:sz w:val="24"/>
        </w:rPr>
        <w:t>Two issues arise from such events:</w:t>
      </w:r>
    </w:p>
    <w:p>
      <w:pPr>
        <w:pStyle w:val="Normal"/>
        <w:numPr>
          <w:ilvl w:val="0"/>
          <w:numId w:val="11"/>
        </w:numPr>
        <w:jc w:val="both"/>
        <w:rPr>
          <w:sz w:val="24"/>
        </w:rPr>
      </w:pPr>
      <w:r>
        <w:rPr>
          <w:sz w:val="24"/>
        </w:rPr>
        <w:t>The first and more immediate is the establishment of market consensus on if / how contracts should be amended in response to an individual instance of such a rule change. On two occasions, in relation to changes to FTSE indices, ISDA has been able to facilitate dialogue between market players on how this should be done.</w:t>
      </w:r>
    </w:p>
    <w:p>
      <w:pPr>
        <w:pStyle w:val="Normal"/>
        <w:numPr>
          <w:ilvl w:val="0"/>
          <w:numId w:val="11"/>
        </w:numPr>
        <w:jc w:val="both"/>
        <w:rPr>
          <w:sz w:val="24"/>
        </w:rPr>
      </w:pPr>
      <w:r>
        <w:rPr>
          <w:sz w:val="24"/>
        </w:rPr>
        <w:t xml:space="preserve">The second issue is longer term, and concerns communications between index sponsors and the OTC markets. ISDA aims to improve these communications, so that the impact of any such changes is discussed with OTC market representatives and due warning given of their introduction. </w:t>
      </w:r>
    </w:p>
    <w:p>
      <w:pPr>
        <w:pStyle w:val="Heading7"/>
        <w:ind w:hanging="0" w:start="0"/>
        <w:rPr/>
      </w:pPr>
      <w:r>
        <w:rPr/>
        <w:t>Timing: Ongoing</w:t>
      </w:r>
    </w:p>
    <w:p>
      <w:pPr>
        <w:pStyle w:val="Normal"/>
        <w:jc w:val="both"/>
        <w:rPr>
          <w:sz w:val="24"/>
        </w:rPr>
      </w:pPr>
      <w:r>
        <w:rPr>
          <w:sz w:val="24"/>
        </w:rPr>
      </w:r>
      <w:r>
        <w:br w:type="page"/>
      </w:r>
    </w:p>
    <w:p>
      <w:pPr>
        <w:pStyle w:val="BodyText"/>
        <w:rPr>
          <w:b/>
          <w:sz w:val="24"/>
        </w:rPr>
      </w:pPr>
      <w:r>
        <w:rPr>
          <w:b/>
          <w:sz w:val="24"/>
        </w:rPr>
        <w:t xml:space="preserve">Corporate event provisions: </w:t>
      </w:r>
    </w:p>
    <w:p>
      <w:pPr>
        <w:pStyle w:val="Normal"/>
        <w:jc w:val="both"/>
        <w:rPr>
          <w:sz w:val="24"/>
        </w:rPr>
      </w:pPr>
      <w:r>
        <w:rPr>
          <w:sz w:val="24"/>
        </w:rPr>
        <w:t xml:space="preserve">A more general aim of the Equity Derivatives Committee is to pursue further standardisation in relation to equity derivatives business practices, building on the platform established by the 1996 Equity Derivative Definitions. This includes promoting dialogue on how to provide for various forms of corporate action, where the 1996 Definitions offer a number of alternatives and where greater consensus would be of benefit to the market, mainly by reducing the backlog of deal confirmations. </w:t>
      </w:r>
    </w:p>
    <w:p>
      <w:pPr>
        <w:pStyle w:val="Normal"/>
        <w:jc w:val="both"/>
        <w:rPr>
          <w:sz w:val="24"/>
        </w:rPr>
      </w:pPr>
      <w:r>
        <w:rPr>
          <w:sz w:val="24"/>
        </w:rPr>
      </w:r>
    </w:p>
    <w:p>
      <w:pPr>
        <w:pStyle w:val="Normal"/>
        <w:jc w:val="both"/>
        <w:rPr>
          <w:sz w:val="24"/>
        </w:rPr>
      </w:pPr>
      <w:r>
        <w:rPr>
          <w:sz w:val="24"/>
        </w:rPr>
        <w:t xml:space="preserve">A project has been initiated to create a ‘contact list’ of individuals within firms authorised to set/amend policy on such provisions. When this list has been developed, the Committee will initiate discussions to assess the potential for greater consensus on which provisions should logically constitute best practice.  </w:t>
      </w:r>
    </w:p>
    <w:p>
      <w:pPr>
        <w:pStyle w:val="Heading7"/>
        <w:ind w:hanging="0" w:start="0"/>
        <w:rPr/>
      </w:pPr>
      <w:r>
        <w:rPr/>
        <w:t>Timing: Autumn 2000</w:t>
      </w:r>
    </w:p>
    <w:p>
      <w:pPr>
        <w:pStyle w:val="Heading6"/>
        <w:ind w:hanging="0" w:start="0"/>
        <w:rPr>
          <w:sz w:val="24"/>
        </w:rPr>
      </w:pPr>
      <w:r>
        <w:rPr>
          <w:sz w:val="24"/>
        </w:rPr>
      </w:r>
    </w:p>
    <w:p>
      <w:pPr>
        <w:pStyle w:val="Normal"/>
        <w:jc w:val="both"/>
        <w:rPr>
          <w:b/>
          <w:sz w:val="24"/>
        </w:rPr>
      </w:pPr>
      <w:r>
        <w:rPr>
          <w:b/>
          <w:sz w:val="24"/>
        </w:rPr>
      </w:r>
    </w:p>
    <w:p>
      <w:pPr>
        <w:pStyle w:val="Heading7"/>
        <w:ind w:hanging="0" w:start="0"/>
        <w:rPr/>
      </w:pPr>
      <w:r>
        <w:rPr/>
        <w:t>North America</w:t>
      </w:r>
    </w:p>
    <w:p>
      <w:pPr>
        <w:pStyle w:val="Normal"/>
        <w:jc w:val="both"/>
        <w:rPr>
          <w:sz w:val="24"/>
        </w:rPr>
      </w:pPr>
      <w:r>
        <w:rPr>
          <w:sz w:val="24"/>
        </w:rPr>
      </w:r>
    </w:p>
    <w:p>
      <w:pPr>
        <w:pStyle w:val="Normal"/>
        <w:jc w:val="both"/>
        <w:rPr>
          <w:sz w:val="24"/>
        </w:rPr>
      </w:pPr>
      <w:r>
        <w:rPr>
          <w:sz w:val="24"/>
        </w:rPr>
        <w:t>The committee has been very active in North America this year.  There have been meetings to discuss the questions that have arisen because of FASB's EITF Issue 00-07 (accounting for equity derivatives (derivatives on a company’s own shares, such as written puts and forward purchase contracts) ).  In addition, a survey is in progress to determine how firms handle special event provisions. In an effort to improve communications between firms, the Committee is working on a directory of Equity Derivatives contacts.</w:t>
      </w:r>
    </w:p>
    <w:p>
      <w:pPr>
        <w:pStyle w:val="Normal"/>
        <w:jc w:val="both"/>
        <w:rPr>
          <w:sz w:val="24"/>
        </w:rPr>
      </w:pPr>
      <w:r>
        <w:rPr>
          <w:sz w:val="24"/>
        </w:rPr>
      </w:r>
    </w:p>
    <w:p>
      <w:pPr>
        <w:pStyle w:val="Normal"/>
        <w:numPr>
          <w:ilvl w:val="0"/>
          <w:numId w:val="9"/>
        </w:numPr>
        <w:jc w:val="both"/>
        <w:rPr>
          <w:sz w:val="24"/>
        </w:rPr>
      </w:pPr>
      <w:r>
        <w:rPr>
          <w:sz w:val="24"/>
        </w:rPr>
        <w:t xml:space="preserve">Special Event Provisions Survey - </w:t>
      </w:r>
      <w:r>
        <w:rPr>
          <w:b/>
          <w:sz w:val="24"/>
          <w:u w:val="single"/>
        </w:rPr>
        <w:t>End of August 2000</w:t>
      </w:r>
    </w:p>
    <w:p>
      <w:pPr>
        <w:pStyle w:val="Normal"/>
        <w:numPr>
          <w:ilvl w:val="0"/>
          <w:numId w:val="9"/>
        </w:numPr>
        <w:jc w:val="both"/>
        <w:rPr>
          <w:sz w:val="24"/>
        </w:rPr>
      </w:pPr>
      <w:r>
        <w:rPr>
          <w:sz w:val="24"/>
        </w:rPr>
        <w:t xml:space="preserve">Equity Derivatives Contacts Directory - </w:t>
      </w:r>
      <w:r>
        <w:rPr>
          <w:b/>
          <w:sz w:val="24"/>
          <w:u w:val="single"/>
        </w:rPr>
        <w:t>End of August 2000</w:t>
      </w:r>
    </w:p>
    <w:p>
      <w:pPr>
        <w:pStyle w:val="Normal"/>
        <w:jc w:val="both"/>
        <w:rPr>
          <w:sz w:val="24"/>
        </w:rPr>
      </w:pPr>
      <w:r>
        <w:rPr>
          <w:sz w:val="24"/>
        </w:rPr>
      </w:r>
    </w:p>
    <w:p>
      <w:pPr>
        <w:pStyle w:val="Normal"/>
        <w:rPr>
          <w:sz w:val="24"/>
        </w:rPr>
      </w:pPr>
      <w:r>
        <w:rPr>
          <w:sz w:val="24"/>
        </w:rPr>
      </w:r>
    </w:p>
    <w:p>
      <w:pPr>
        <w:pStyle w:val="BlockText"/>
        <w:tabs>
          <w:tab w:val="clear" w:pos="720"/>
          <w:tab w:val="left" w:pos="7797" w:leader="none"/>
        </w:tabs>
        <w:ind w:start="0" w:end="85"/>
        <w:rPr/>
      </w:pPr>
      <w:r>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Normal"/>
        <w:spacing w:lineRule="auto" w:line="360"/>
        <w:jc w:val="center"/>
        <w:rPr>
          <w:b/>
          <w:sz w:val="24"/>
        </w:rPr>
      </w:pPr>
      <w:r>
        <w:rPr>
          <w:b/>
          <w:sz w:val="24"/>
        </w:rPr>
      </w:r>
    </w:p>
    <w:p>
      <w:pPr>
        <w:pStyle w:val="Heading4"/>
        <w:jc w:val="center"/>
        <w:rPr>
          <w:sz w:val="28"/>
          <w:u w:val="single"/>
        </w:rPr>
      </w:pPr>
      <w:r>
        <w:rPr>
          <w:sz w:val="28"/>
          <w:u w:val="single"/>
        </w:rPr>
        <w:t>Euro Committee</w:t>
      </w:r>
    </w:p>
    <w:p>
      <w:pPr>
        <w:pStyle w:val="Normal"/>
        <w:jc w:val="center"/>
        <w:rPr>
          <w:sz w:val="24"/>
        </w:rPr>
      </w:pPr>
      <w:r>
        <w:rPr>
          <w:sz w:val="24"/>
        </w:rPr>
        <w:t>Chair: Jean Granoux, Credit Agricole Indosuez</w:t>
      </w:r>
    </w:p>
    <w:p>
      <w:pPr>
        <w:pStyle w:val="Normal"/>
        <w:jc w:val="center"/>
        <w:rPr>
          <w:sz w:val="24"/>
        </w:rPr>
      </w:pPr>
      <w:r>
        <w:rPr>
          <w:sz w:val="24"/>
        </w:rPr>
      </w:r>
    </w:p>
    <w:p>
      <w:pPr>
        <w:pStyle w:val="Heading2"/>
        <w:ind w:hanging="0" w:start="0"/>
        <w:jc w:val="start"/>
        <w:rPr>
          <w:u w:val="none"/>
        </w:rPr>
      </w:pPr>
      <w:r>
        <w:rPr>
          <w:u w:val="none"/>
        </w:rPr>
        <w:t xml:space="preserve">Overview </w:t>
      </w:r>
    </w:p>
    <w:p>
      <w:pPr>
        <w:pStyle w:val="BodyText2"/>
        <w:rPr>
          <w:sz w:val="24"/>
        </w:rPr>
      </w:pPr>
      <w:r>
        <w:rPr>
          <w:sz w:val="24"/>
        </w:rPr>
        <w:t>The Euro committee replaced ISDA’s five EMU task forces in early 1999. It has two main roles:  to consider, and ideally to solve, any remaining problems arising from EMU (notably those relating to the treatment of legacy trades) and to prepare for future EMU entrants. With Greek entry to EMU, for example, many of the previously addressed issues during the initial introduction of the euro need to be re-visited.  Similarly, this will apply should Denmark, Sweden or even the UK decide to adopt the euro.</w:t>
      </w:r>
    </w:p>
    <w:p>
      <w:pPr>
        <w:pStyle w:val="Normal"/>
        <w:tabs>
          <w:tab w:val="clear" w:pos="720"/>
          <w:tab w:val="left" w:pos="4500" w:leader="none"/>
        </w:tabs>
        <w:jc w:val="both"/>
        <w:rPr>
          <w:sz w:val="24"/>
        </w:rPr>
      </w:pPr>
      <w:r>
        <w:rPr>
          <w:sz w:val="24"/>
        </w:rPr>
      </w:r>
    </w:p>
    <w:p>
      <w:pPr>
        <w:pStyle w:val="Heading2"/>
        <w:ind w:hanging="0" w:start="0"/>
        <w:jc w:val="start"/>
        <w:rPr>
          <w:u w:val="none"/>
        </w:rPr>
      </w:pPr>
      <w:r>
        <w:rPr>
          <w:u w:val="none"/>
        </w:rPr>
        <w:t>Current Activities</w:t>
      </w:r>
    </w:p>
    <w:p>
      <w:pPr>
        <w:pStyle w:val="Normal"/>
        <w:tabs>
          <w:tab w:val="clear" w:pos="720"/>
          <w:tab w:val="left" w:pos="4500" w:leader="none"/>
        </w:tabs>
        <w:jc w:val="both"/>
        <w:rPr>
          <w:sz w:val="24"/>
          <w:u w:val="none"/>
        </w:rPr>
      </w:pPr>
      <w:r>
        <w:rPr>
          <w:sz w:val="24"/>
          <w:u w:val="none"/>
        </w:rPr>
      </w:r>
    </w:p>
    <w:p>
      <w:pPr>
        <w:pStyle w:val="Heading2"/>
        <w:ind w:hanging="0" w:start="0"/>
        <w:jc w:val="start"/>
        <w:rPr>
          <w:u w:val="none"/>
        </w:rPr>
      </w:pPr>
      <w:r>
        <w:rPr>
          <w:u w:val="none"/>
        </w:rPr>
        <w:t>Market Practice Issues</w:t>
      </w:r>
    </w:p>
    <w:p>
      <w:pPr>
        <w:pStyle w:val="Normal"/>
        <w:tabs>
          <w:tab w:val="clear" w:pos="720"/>
          <w:tab w:val="left" w:pos="4770" w:leader="none"/>
        </w:tabs>
        <w:jc w:val="both"/>
        <w:rPr>
          <w:sz w:val="24"/>
        </w:rPr>
      </w:pPr>
      <w:r>
        <w:rPr>
          <w:sz w:val="24"/>
        </w:rPr>
        <w:t>Work is continuing in the following areas:</w:t>
      </w:r>
    </w:p>
    <w:p>
      <w:pPr>
        <w:pStyle w:val="Normal"/>
        <w:numPr>
          <w:ilvl w:val="0"/>
          <w:numId w:val="59"/>
        </w:numPr>
        <w:jc w:val="both"/>
        <w:rPr>
          <w:sz w:val="24"/>
        </w:rPr>
      </w:pPr>
      <w:r>
        <w:rPr>
          <w:sz w:val="24"/>
        </w:rPr>
        <w:t>Price sources, the impact of their disappearance during the transition period and how legacy transaction continue to be dealt with (i.e., fixed and settled)</w:t>
      </w:r>
    </w:p>
    <w:p>
      <w:pPr>
        <w:pStyle w:val="Normal"/>
        <w:numPr>
          <w:ilvl w:val="0"/>
          <w:numId w:val="64"/>
        </w:numPr>
        <w:jc w:val="both"/>
        <w:rPr>
          <w:sz w:val="24"/>
        </w:rPr>
      </w:pPr>
      <w:r>
        <w:rPr>
          <w:sz w:val="24"/>
        </w:rPr>
        <w:t>Harmonisation of market conventions, such as day counts, fixing periods and business days</w:t>
      </w:r>
    </w:p>
    <w:p>
      <w:pPr>
        <w:pStyle w:val="Normal"/>
        <w:ind w:start="720" w:end="0"/>
        <w:jc w:val="both"/>
        <w:rPr>
          <w:sz w:val="24"/>
        </w:rPr>
      </w:pPr>
      <w:r>
        <w:rPr>
          <w:sz w:val="24"/>
        </w:rPr>
      </w:r>
    </w:p>
    <w:p>
      <w:pPr>
        <w:pStyle w:val="Heading2"/>
        <w:ind w:hanging="0" w:start="0"/>
        <w:jc w:val="both"/>
        <w:rPr>
          <w:u w:val="none"/>
        </w:rPr>
      </w:pPr>
      <w:r>
        <w:rPr>
          <w:u w:val="none"/>
        </w:rPr>
        <w:t>Documentation Issues</w:t>
      </w:r>
    </w:p>
    <w:p>
      <w:pPr>
        <w:pStyle w:val="Normal"/>
        <w:jc w:val="both"/>
        <w:rPr>
          <w:sz w:val="24"/>
        </w:rPr>
      </w:pPr>
      <w:r>
        <w:rPr>
          <w:sz w:val="24"/>
        </w:rPr>
        <w:t>The Euro Committee in conjunction with ISDA’s Documentation Committee concentrates its efforts on ensuring the continued applicability of existing ISDA documentation following the introduction of the euro.  The Euro committee focuses in particular on:</w:t>
      </w:r>
    </w:p>
    <w:p>
      <w:pPr>
        <w:pStyle w:val="Normal"/>
        <w:numPr>
          <w:ilvl w:val="0"/>
          <w:numId w:val="22"/>
        </w:numPr>
        <w:jc w:val="both"/>
        <w:rPr>
          <w:sz w:val="24"/>
        </w:rPr>
      </w:pPr>
      <w:r>
        <w:rPr>
          <w:sz w:val="24"/>
        </w:rPr>
        <w:t>Effect of EMU on documentation, e.g. price sources</w:t>
      </w:r>
    </w:p>
    <w:p>
      <w:pPr>
        <w:pStyle w:val="Normal"/>
        <w:numPr>
          <w:ilvl w:val="0"/>
          <w:numId w:val="63"/>
        </w:numPr>
        <w:jc w:val="both"/>
        <w:rPr>
          <w:sz w:val="24"/>
        </w:rPr>
      </w:pPr>
      <w:r>
        <w:rPr>
          <w:sz w:val="24"/>
        </w:rPr>
        <w:t>The introduction of contractual provisions dealing with EMU to be included in the ISDA documentation, e.g. continuity of contracts</w:t>
      </w:r>
    </w:p>
    <w:p>
      <w:pPr>
        <w:pStyle w:val="Normal"/>
        <w:numPr>
          <w:ilvl w:val="0"/>
          <w:numId w:val="46"/>
        </w:numPr>
        <w:jc w:val="both"/>
        <w:rPr>
          <w:sz w:val="24"/>
        </w:rPr>
      </w:pPr>
      <w:r>
        <w:rPr>
          <w:sz w:val="24"/>
        </w:rPr>
        <w:t>Changes to day-count conventions, rounding conventions (ie Euribor) etc.</w:t>
      </w:r>
    </w:p>
    <w:p>
      <w:pPr>
        <w:pStyle w:val="Normal"/>
        <w:numPr>
          <w:ilvl w:val="0"/>
          <w:numId w:val="35"/>
        </w:numPr>
        <w:jc w:val="both"/>
        <w:rPr>
          <w:sz w:val="24"/>
        </w:rPr>
      </w:pPr>
      <w:r>
        <w:rPr>
          <w:sz w:val="24"/>
        </w:rPr>
        <w:t>Potential need for redenomination/reconventioning</w:t>
      </w:r>
    </w:p>
    <w:p>
      <w:pPr>
        <w:pStyle w:val="Normal"/>
        <w:jc w:val="both"/>
        <w:rPr>
          <w:sz w:val="24"/>
        </w:rPr>
      </w:pPr>
      <w:r>
        <w:rPr>
          <w:sz w:val="24"/>
        </w:rPr>
      </w:r>
    </w:p>
    <w:p>
      <w:pPr>
        <w:pStyle w:val="Heading1"/>
        <w:ind w:hanging="0" w:start="0"/>
        <w:rPr>
          <w:b/>
          <w:sz w:val="24"/>
          <w:u w:val="none"/>
        </w:rPr>
      </w:pPr>
      <w:r>
        <w:rPr>
          <w:b/>
          <w:sz w:val="24"/>
          <w:u w:val="none"/>
        </w:rPr>
        <w:t>Operational Issues</w:t>
      </w:r>
    </w:p>
    <w:p>
      <w:pPr>
        <w:pStyle w:val="Normal"/>
        <w:jc w:val="both"/>
        <w:rPr>
          <w:sz w:val="24"/>
        </w:rPr>
      </w:pPr>
      <w:r>
        <w:rPr>
          <w:sz w:val="24"/>
        </w:rPr>
        <w:t xml:space="preserve">The Euro Committee continues to monitor the impact of the introduction of the euro on back office efforts.  </w:t>
      </w:r>
    </w:p>
    <w:p>
      <w:pPr>
        <w:pStyle w:val="Normal"/>
        <w:numPr>
          <w:ilvl w:val="0"/>
          <w:numId w:val="51"/>
        </w:numPr>
        <w:jc w:val="both"/>
        <w:rPr>
          <w:sz w:val="24"/>
        </w:rPr>
      </w:pPr>
      <w:r>
        <w:rPr>
          <w:sz w:val="24"/>
        </w:rPr>
        <w:t>Effecting interim payments and settlements of trades according to new Euro conventions</w:t>
      </w:r>
    </w:p>
    <w:p>
      <w:pPr>
        <w:pStyle w:val="Normal"/>
        <w:numPr>
          <w:ilvl w:val="0"/>
          <w:numId w:val="69"/>
        </w:numPr>
        <w:jc w:val="both"/>
        <w:rPr>
          <w:sz w:val="24"/>
        </w:rPr>
      </w:pPr>
      <w:r>
        <w:rPr>
          <w:sz w:val="24"/>
        </w:rPr>
        <w:t>Potential need for redenomination/reconventioning</w:t>
      </w:r>
    </w:p>
    <w:p>
      <w:pPr>
        <w:pStyle w:val="Normal"/>
        <w:jc w:val="both"/>
        <w:rPr>
          <w:sz w:val="24"/>
        </w:rPr>
      </w:pPr>
      <w:r>
        <w:rPr>
          <w:sz w:val="24"/>
        </w:rPr>
        <w:t xml:space="preserve">A survey has been circulated to members asking for comments on these issues by mid July. </w:t>
      </w:r>
      <w:r>
        <w:br w:type="page"/>
      </w:r>
    </w:p>
    <w:p>
      <w:pPr>
        <w:pStyle w:val="Normal"/>
        <w:ind w:start="720" w:end="0"/>
        <w:jc w:val="both"/>
        <w:rPr>
          <w:sz w:val="24"/>
        </w:rPr>
      </w:pPr>
      <w:r>
        <w:rPr>
          <w:sz w:val="24"/>
        </w:rPr>
      </w:r>
    </w:p>
    <w:p>
      <w:pPr>
        <w:pStyle w:val="Heading3"/>
        <w:numPr>
          <w:ilvl w:val="0"/>
          <w:numId w:val="0"/>
        </w:numPr>
        <w:ind w:hanging="0" w:start="720" w:end="0"/>
        <w:rPr>
          <w:sz w:val="24"/>
        </w:rPr>
      </w:pPr>
      <w:r>
        <w:rPr>
          <w:sz w:val="24"/>
        </w:rPr>
        <w:t>Greek entry to EMU</w:t>
      </w:r>
    </w:p>
    <w:p>
      <w:pPr>
        <w:pStyle w:val="BodyText"/>
        <w:ind w:start="720" w:end="0"/>
        <w:rPr/>
      </w:pPr>
      <w:r>
        <w:rPr>
          <w:sz w:val="24"/>
        </w:rPr>
        <w:t xml:space="preserve">In 1997 and 1998, ISDA was at the centre of efforts to ensure a smooth transition to the Euro and will continue those efforts in regard to the Greek entry into EMU.  ISDA has been urged by members to investigate how preparations for the Greek entry are progressing and is currently in the process of devising the ‘EMU Protocol (Greece)’.  A memo has been circulated to members setting a timetable for this: comments by 4 September on the Protocol plus a series of meetings in September to discuss how we proceed. If members agree, ISDA will open the </w:t>
      </w:r>
      <w:r>
        <w:rPr>
          <w:b/>
          <w:sz w:val="24"/>
          <w:u w:val="single"/>
        </w:rPr>
        <w:t>new protocol for signature during October and November</w:t>
      </w:r>
      <w:r>
        <w:rPr>
          <w:sz w:val="24"/>
        </w:rPr>
        <w:t>.</w:t>
      </w:r>
    </w:p>
    <w:p>
      <w:pPr>
        <w:pStyle w:val="BodyText"/>
        <w:ind w:start="720" w:end="0"/>
        <w:rPr>
          <w:sz w:val="24"/>
        </w:rPr>
      </w:pPr>
      <w:r>
        <w:rPr>
          <w:sz w:val="24"/>
        </w:rPr>
      </w:r>
    </w:p>
    <w:p>
      <w:pPr>
        <w:pStyle w:val="BodyText"/>
        <w:ind w:start="720" w:end="0"/>
        <w:rPr>
          <w:sz w:val="24"/>
        </w:rPr>
      </w:pPr>
      <w:r>
        <w:rPr>
          <w:sz w:val="24"/>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Normal"/>
        <w:spacing w:lineRule="auto" w:line="360"/>
        <w:jc w:val="center"/>
        <w:rPr>
          <w:b/>
          <w:sz w:val="24"/>
        </w:rPr>
      </w:pPr>
      <w:r>
        <w:rPr>
          <w:b/>
          <w:sz w:val="24"/>
        </w:rPr>
      </w:r>
    </w:p>
    <w:p>
      <w:pPr>
        <w:pStyle w:val="Heading2"/>
        <w:spacing w:lineRule="auto" w:line="240"/>
        <w:ind w:hanging="0" w:start="0"/>
        <w:rPr>
          <w:sz w:val="28"/>
        </w:rPr>
      </w:pPr>
      <w:r>
        <w:rPr>
          <w:sz w:val="28"/>
        </w:rPr>
        <w:t>European Emerging Markets Committee</w:t>
      </w:r>
    </w:p>
    <w:p>
      <w:pPr>
        <w:pStyle w:val="Normal"/>
        <w:jc w:val="center"/>
        <w:rPr>
          <w:sz w:val="24"/>
        </w:rPr>
      </w:pPr>
      <w:r>
        <w:rPr>
          <w:sz w:val="24"/>
        </w:rPr>
        <w:t>Chair: Douglas Bongartz-Renaud, ABN Amro Bank</w:t>
      </w:r>
    </w:p>
    <w:p>
      <w:pPr>
        <w:pStyle w:val="Heading4"/>
        <w:rPr>
          <w:sz w:val="24"/>
        </w:rPr>
      </w:pPr>
      <w:r>
        <w:rPr>
          <w:sz w:val="24"/>
        </w:rPr>
        <w:t>Overview</w:t>
      </w:r>
    </w:p>
    <w:p>
      <w:pPr>
        <w:pStyle w:val="Normal"/>
        <w:ind w:end="992"/>
        <w:rPr>
          <w:sz w:val="24"/>
        </w:rPr>
      </w:pPr>
      <w:r>
        <w:rPr>
          <w:sz w:val="24"/>
        </w:rPr>
      </w:r>
    </w:p>
    <w:p>
      <w:pPr>
        <w:pStyle w:val="BlockText"/>
        <w:ind w:start="0" w:end="85"/>
        <w:rPr/>
      </w:pPr>
      <w:r>
        <w:rPr/>
        <w:t>The Emerging Markets Committee was established to promote the understanding of the ISDA Master Agreement and to advocate the necessity of netting being enforceable in regard to OTC derivatives trading in the Czech Republic, Hungary and Poland.  ISDA has recently been contracted by the EBRD to promote netting in these three countries and may also lend financial support for up to two additional jurisdictions, probably Slovakia and Lithuania.   ISDA also promotes appropriate regulation of OTC derivatives in these countries and has already arranged one training course for regulators.   A&amp;O act as counsel.</w:t>
      </w:r>
    </w:p>
    <w:p>
      <w:pPr>
        <w:pStyle w:val="BlockText"/>
        <w:ind w:start="0" w:end="85"/>
        <w:rPr/>
      </w:pPr>
      <w:r>
        <w:rPr/>
      </w:r>
    </w:p>
    <w:p>
      <w:pPr>
        <w:pStyle w:val="BlockText"/>
        <w:ind w:start="0" w:end="85"/>
        <w:rPr/>
      </w:pPr>
      <w:r>
        <w:rPr/>
        <w:t>In addition to the work done in the above Eastern European jurisdictions, ISDA is also monitoring and supporting developments which aim to ensure that netting is enforceable in Greece, Turkey and Israel, where ISDA plans to commission netting opinions in the near future.</w:t>
      </w:r>
    </w:p>
    <w:p>
      <w:pPr>
        <w:pStyle w:val="BlockText"/>
        <w:ind w:start="0" w:end="85"/>
        <w:rPr/>
      </w:pPr>
      <w:r>
        <w:rPr/>
      </w:r>
    </w:p>
    <w:p>
      <w:pPr>
        <w:pStyle w:val="BlockText"/>
        <w:ind w:start="0" w:end="85"/>
        <w:rPr/>
      </w:pPr>
      <w:r>
        <w:rPr/>
        <w:t>In all the target countries ISDA undertakes</w:t>
      </w:r>
    </w:p>
    <w:p>
      <w:pPr>
        <w:pStyle w:val="BlockText"/>
        <w:ind w:start="0" w:end="85"/>
        <w:rPr/>
      </w:pPr>
      <w:r>
        <w:rPr/>
      </w:r>
    </w:p>
    <w:p>
      <w:pPr>
        <w:pStyle w:val="BodyTextIndent2"/>
        <w:numPr>
          <w:ilvl w:val="0"/>
          <w:numId w:val="73"/>
        </w:numPr>
        <w:ind w:hanging="360" w:start="1080" w:end="85"/>
        <w:jc w:val="both"/>
        <w:rPr/>
      </w:pPr>
      <w:r>
        <w:rPr/>
        <w:t>Lobbying to promote understanding of need for netting legislation</w:t>
      </w:r>
    </w:p>
    <w:p>
      <w:pPr>
        <w:pStyle w:val="BodyTextIndent2"/>
        <w:numPr>
          <w:ilvl w:val="0"/>
          <w:numId w:val="71"/>
        </w:numPr>
        <w:ind w:hanging="360" w:start="1080" w:end="85"/>
        <w:jc w:val="both"/>
        <w:rPr/>
      </w:pPr>
      <w:r>
        <w:rPr/>
        <w:t>Regular meetings with local representatives and authorities</w:t>
      </w:r>
    </w:p>
    <w:p>
      <w:pPr>
        <w:pStyle w:val="BodyTextIndent2"/>
        <w:numPr>
          <w:ilvl w:val="0"/>
          <w:numId w:val="43"/>
        </w:numPr>
        <w:ind w:hanging="360" w:start="1080" w:end="85"/>
        <w:jc w:val="both"/>
        <w:rPr/>
      </w:pPr>
      <w:r>
        <w:rPr/>
        <w:t>Assistance provided to local initiatives re drafting netting legislation</w:t>
      </w:r>
    </w:p>
    <w:p>
      <w:pPr>
        <w:pStyle w:val="BlockText"/>
        <w:numPr>
          <w:ilvl w:val="0"/>
          <w:numId w:val="32"/>
        </w:numPr>
        <w:tabs>
          <w:tab w:val="clear" w:pos="720"/>
          <w:tab w:val="left" w:pos="1080" w:leader="none"/>
          <w:tab w:val="left" w:pos="7797" w:leader="none"/>
        </w:tabs>
        <w:ind w:hanging="360" w:start="1080" w:end="85"/>
        <w:rPr/>
      </w:pPr>
      <w:r>
        <w:rPr/>
        <w:t>Feedback on progress to the Task Force</w:t>
      </w:r>
    </w:p>
    <w:p>
      <w:pPr>
        <w:pStyle w:val="BlockText"/>
        <w:tabs>
          <w:tab w:val="clear" w:pos="720"/>
          <w:tab w:val="left" w:pos="7797" w:leader="none"/>
        </w:tabs>
        <w:ind w:end="85"/>
        <w:rPr/>
      </w:pPr>
      <w:r>
        <w:rPr/>
      </w:r>
    </w:p>
    <w:p>
      <w:pPr>
        <w:pStyle w:val="BlockText"/>
        <w:tabs>
          <w:tab w:val="clear" w:pos="720"/>
          <w:tab w:val="left" w:pos="7797" w:leader="none"/>
        </w:tabs>
        <w:ind w:start="0" w:end="85"/>
        <w:jc w:val="start"/>
        <w:rPr>
          <w:b/>
        </w:rPr>
      </w:pPr>
      <w:r>
        <w:rPr>
          <w:b/>
        </w:rPr>
        <w:t>Current Activities</w:t>
      </w:r>
    </w:p>
    <w:p>
      <w:pPr>
        <w:pStyle w:val="BlockText"/>
        <w:tabs>
          <w:tab w:val="clear" w:pos="720"/>
          <w:tab w:val="left" w:pos="7797" w:leader="none"/>
        </w:tabs>
        <w:ind w:start="0" w:end="85"/>
        <w:jc w:val="start"/>
        <w:rPr/>
      </w:pPr>
      <w:r>
        <w:rPr/>
      </w:r>
    </w:p>
    <w:p>
      <w:pPr>
        <w:pStyle w:val="BlockText"/>
        <w:tabs>
          <w:tab w:val="clear" w:pos="720"/>
          <w:tab w:val="left" w:pos="7797" w:leader="none"/>
        </w:tabs>
        <w:ind w:start="0" w:end="85"/>
        <w:jc w:val="start"/>
        <w:rPr/>
      </w:pPr>
      <w:r>
        <w:rPr/>
        <w:t>The latest positions are as follows:</w:t>
      </w:r>
    </w:p>
    <w:p>
      <w:pPr>
        <w:pStyle w:val="BlockText"/>
        <w:tabs>
          <w:tab w:val="clear" w:pos="720"/>
          <w:tab w:val="left" w:pos="7797" w:leader="none"/>
        </w:tabs>
        <w:ind w:end="85"/>
        <w:jc w:val="start"/>
        <w:rPr/>
      </w:pPr>
      <w:r>
        <w:rPr/>
      </w:r>
    </w:p>
    <w:p>
      <w:pPr>
        <w:pStyle w:val="BlockText"/>
        <w:tabs>
          <w:tab w:val="clear" w:pos="720"/>
          <w:tab w:val="left" w:pos="709" w:leader="none"/>
        </w:tabs>
        <w:ind w:start="0" w:end="992"/>
        <w:rPr>
          <w:b/>
        </w:rPr>
      </w:pPr>
      <w:r>
        <w:rPr>
          <w:b/>
        </w:rPr>
        <w:t>Czech Republic</w:t>
      </w:r>
    </w:p>
    <w:p>
      <w:pPr>
        <w:pStyle w:val="BlockText"/>
        <w:numPr>
          <w:ilvl w:val="0"/>
          <w:numId w:val="72"/>
        </w:numPr>
        <w:tabs>
          <w:tab w:val="clear" w:pos="720"/>
          <w:tab w:val="left" w:pos="1080" w:leader="none"/>
          <w:tab w:val="left" w:pos="7797" w:leader="none"/>
        </w:tabs>
        <w:ind w:hanging="360" w:start="1080" w:end="85"/>
        <w:rPr/>
      </w:pPr>
      <w:r>
        <w:rPr/>
        <w:t xml:space="preserve">ISDA has helped draft legislation which the National Bank (CNB) expects to be retabled in </w:t>
      </w:r>
      <w:r>
        <w:rPr>
          <w:b/>
          <w:u w:val="single"/>
        </w:rPr>
        <w:t>late 2000</w:t>
      </w:r>
      <w:r>
        <w:rPr/>
        <w:t>.  We will lobby further if this appears to be slipping.</w:t>
      </w:r>
    </w:p>
    <w:p>
      <w:pPr>
        <w:pStyle w:val="BlockText"/>
        <w:numPr>
          <w:ilvl w:val="0"/>
          <w:numId w:val="47"/>
        </w:numPr>
        <w:tabs>
          <w:tab w:val="clear" w:pos="720"/>
          <w:tab w:val="left" w:pos="1080" w:leader="none"/>
          <w:tab w:val="left" w:pos="7797" w:leader="none"/>
        </w:tabs>
        <w:ind w:hanging="360" w:start="1080" w:end="85"/>
        <w:rPr/>
      </w:pPr>
      <w:r>
        <w:rPr/>
        <w:t xml:space="preserve">The local Financial Markets Association has drafted local supplements to the ISDA Master and has asked us to review them.  </w:t>
      </w:r>
      <w:r>
        <w:rPr>
          <w:b/>
          <w:u w:val="single"/>
        </w:rPr>
        <w:t>Timing: over next 2 months</w:t>
      </w:r>
      <w:r>
        <w:rPr/>
        <w:t xml:space="preserve">.   </w:t>
      </w:r>
    </w:p>
    <w:p>
      <w:pPr>
        <w:pStyle w:val="BlockText"/>
        <w:numPr>
          <w:ilvl w:val="0"/>
          <w:numId w:val="3"/>
        </w:numPr>
        <w:tabs>
          <w:tab w:val="clear" w:pos="720"/>
          <w:tab w:val="left" w:pos="1080" w:leader="none"/>
          <w:tab w:val="left" w:pos="7797" w:leader="none"/>
        </w:tabs>
        <w:ind w:hanging="360" w:start="1080" w:end="85"/>
        <w:rPr/>
      </w:pPr>
      <w:r>
        <w:rPr/>
        <w:t>ISDA ran a capital adequacy course last year for the CNB. We will repeat this if the CNB can find the time.</w:t>
      </w:r>
    </w:p>
    <w:p>
      <w:pPr>
        <w:pStyle w:val="BlockText"/>
        <w:tabs>
          <w:tab w:val="clear" w:pos="720"/>
          <w:tab w:val="left" w:pos="709" w:leader="none"/>
        </w:tabs>
        <w:ind w:start="720" w:end="992"/>
        <w:rPr>
          <w:b/>
        </w:rPr>
      </w:pPr>
      <w:r>
        <w:rPr>
          <w:b/>
        </w:rPr>
      </w:r>
    </w:p>
    <w:p>
      <w:pPr>
        <w:pStyle w:val="BlockText"/>
        <w:tabs>
          <w:tab w:val="clear" w:pos="720"/>
          <w:tab w:val="left" w:pos="709" w:leader="none"/>
        </w:tabs>
        <w:ind w:start="0" w:end="992"/>
        <w:rPr>
          <w:b/>
        </w:rPr>
      </w:pPr>
      <w:r>
        <w:rPr>
          <w:b/>
        </w:rPr>
        <w:t>Hungary</w:t>
      </w:r>
    </w:p>
    <w:p>
      <w:pPr>
        <w:pStyle w:val="BodyTextIndent2"/>
        <w:numPr>
          <w:ilvl w:val="0"/>
          <w:numId w:val="20"/>
        </w:numPr>
        <w:ind w:hanging="360" w:start="1080" w:end="85"/>
        <w:jc w:val="both"/>
        <w:rPr/>
      </w:pPr>
      <w:r>
        <w:rPr/>
        <w:t xml:space="preserve">ISDA met with officials in May to discuss netting legislation.  Next step is to draft legislation using local A&amp;O team.  </w:t>
      </w:r>
      <w:r>
        <w:rPr>
          <w:b/>
          <w:u w:val="single"/>
        </w:rPr>
        <w:t>Timing: by September</w:t>
      </w:r>
      <w:r>
        <w:rPr/>
        <w:t xml:space="preserve">.  </w:t>
      </w:r>
    </w:p>
    <w:p>
      <w:pPr>
        <w:pStyle w:val="BlockText"/>
        <w:tabs>
          <w:tab w:val="clear" w:pos="720"/>
          <w:tab w:val="left" w:pos="709" w:leader="none"/>
        </w:tabs>
        <w:ind w:start="0" w:end="992"/>
        <w:rPr>
          <w:b/>
        </w:rPr>
      </w:pPr>
      <w:r>
        <w:rPr>
          <w:b/>
        </w:rPr>
        <w:t>Poland</w:t>
      </w:r>
    </w:p>
    <w:p>
      <w:pPr>
        <w:pStyle w:val="BodyTextIndent2"/>
        <w:numPr>
          <w:ilvl w:val="0"/>
          <w:numId w:val="31"/>
        </w:numPr>
        <w:ind w:hanging="360" w:start="1080" w:end="85"/>
        <w:jc w:val="both"/>
        <w:rPr/>
      </w:pPr>
      <w:r>
        <w:rPr/>
        <w:t xml:space="preserve">National Bank (NBP) is apparently drafting legislation following ISDA lobbying.   ISDA will contact NBP for a draft during the summer. </w:t>
      </w:r>
    </w:p>
    <w:p>
      <w:pPr>
        <w:pStyle w:val="BodyTextIndent2"/>
        <w:numPr>
          <w:ilvl w:val="0"/>
          <w:numId w:val="27"/>
        </w:numPr>
        <w:tabs>
          <w:tab w:val="clear" w:pos="720"/>
          <w:tab w:val="left" w:pos="1080" w:leader="none"/>
        </w:tabs>
        <w:ind w:hanging="360" w:start="1080" w:end="85"/>
        <w:jc w:val="both"/>
        <w:rPr/>
      </w:pPr>
      <w:r>
        <w:rPr/>
        <w:t>Legislation requiring contracts with Polish counterparties to be in Polish has been passed.   ISDA will make representations to the authorities during August seeking clarification on the impact of this.  During August a draft standardised translation for use by members will be circulated for comment.</w:t>
      </w:r>
    </w:p>
    <w:p>
      <w:pPr>
        <w:pStyle w:val="Normal"/>
        <w:ind w:start="1440" w:end="992"/>
        <w:rPr>
          <w:sz w:val="24"/>
        </w:rPr>
      </w:pPr>
      <w:r>
        <w:rPr>
          <w:sz w:val="24"/>
        </w:rPr>
      </w:r>
    </w:p>
    <w:p>
      <w:pPr>
        <w:pStyle w:val="BlockText"/>
        <w:tabs>
          <w:tab w:val="clear" w:pos="720"/>
          <w:tab w:val="left" w:pos="709" w:leader="none"/>
        </w:tabs>
        <w:ind w:start="0" w:end="992"/>
        <w:rPr>
          <w:b/>
        </w:rPr>
      </w:pPr>
      <w:r>
        <w:rPr>
          <w:b/>
        </w:rPr>
        <w:t>Greece, Turkey and Israel</w:t>
      </w:r>
    </w:p>
    <w:p>
      <w:pPr>
        <w:pStyle w:val="BlockText"/>
        <w:numPr>
          <w:ilvl w:val="0"/>
          <w:numId w:val="54"/>
        </w:numPr>
        <w:tabs>
          <w:tab w:val="clear" w:pos="720"/>
          <w:tab w:val="left" w:pos="1080" w:leader="none"/>
        </w:tabs>
        <w:ind w:hanging="360" w:start="1080" w:end="992"/>
        <w:rPr/>
      </w:pPr>
      <w:r>
        <w:rPr/>
        <w:t xml:space="preserve">ISDA is consulting members on suitable counsel for legal opinions </w:t>
      </w:r>
    </w:p>
    <w:p>
      <w:pPr>
        <w:pStyle w:val="BodyText"/>
        <w:ind w:start="720" w:end="0"/>
        <w:rPr>
          <w:sz w:val="24"/>
        </w:rPr>
      </w:pPr>
      <w:r>
        <w:rPr>
          <w:sz w:val="24"/>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Normal"/>
        <w:spacing w:lineRule="auto" w:line="360"/>
        <w:jc w:val="center"/>
        <w:rPr>
          <w:b/>
          <w:sz w:val="24"/>
        </w:rPr>
      </w:pPr>
      <w:r>
        <w:rPr>
          <w:b/>
          <w:sz w:val="24"/>
        </w:rPr>
      </w:r>
    </w:p>
    <w:p>
      <w:pPr>
        <w:pStyle w:val="Heading2"/>
        <w:spacing w:lineRule="auto" w:line="240"/>
        <w:ind w:hanging="0" w:start="0"/>
        <w:rPr>
          <w:sz w:val="28"/>
        </w:rPr>
      </w:pPr>
      <w:r>
        <w:rPr>
          <w:sz w:val="28"/>
        </w:rPr>
        <w:t>European Regulatory Committee</w:t>
      </w:r>
    </w:p>
    <w:p>
      <w:pPr>
        <w:pStyle w:val="Heading5"/>
        <w:ind w:hanging="0" w:start="0"/>
        <w:rPr/>
      </w:pPr>
      <w:r>
        <w:rPr/>
        <w:t>Chair: vacant</w:t>
      </w:r>
    </w:p>
    <w:p>
      <w:pPr>
        <w:pStyle w:val="Normal"/>
        <w:ind w:end="992"/>
        <w:rPr>
          <w:sz w:val="24"/>
        </w:rPr>
      </w:pPr>
      <w:r>
        <w:rPr>
          <w:sz w:val="24"/>
        </w:rPr>
      </w:r>
    </w:p>
    <w:p>
      <w:pPr>
        <w:pStyle w:val="Heading4"/>
        <w:rPr>
          <w:sz w:val="24"/>
        </w:rPr>
      </w:pPr>
      <w:r>
        <w:rPr>
          <w:sz w:val="24"/>
        </w:rPr>
        <w:t>Overview</w:t>
      </w:r>
    </w:p>
    <w:p>
      <w:pPr>
        <w:pStyle w:val="Normal"/>
        <w:ind w:end="992"/>
        <w:rPr>
          <w:sz w:val="24"/>
        </w:rPr>
      </w:pPr>
      <w:r>
        <w:rPr>
          <w:sz w:val="24"/>
        </w:rPr>
      </w:r>
    </w:p>
    <w:p>
      <w:pPr>
        <w:pStyle w:val="BodyText"/>
        <w:rPr>
          <w:sz w:val="24"/>
        </w:rPr>
      </w:pPr>
      <w:r>
        <w:rPr>
          <w:sz w:val="24"/>
        </w:rPr>
        <w:t>The European Regulatory Committee (ERC) lobbies at both the EU and national level for appropriate regulatory treatment of OTC derivatives.  Capital issues are covered in the Risk Management Committee; the ERC deals with authorisation requirements and the application of conduct of business rules (unlike the US, OTC derivatives are subject to regulation as securities in the EU).  The Committee’s main EU focus of activity is the Investment Services Directive (ISD) which governs the regulation of all securities trading in the EU and which is currently under review as part of the Single Market’s Financial Services Action Plan.  The Committee’s main national focus has been on the UK, given the dominance of London in the European market.  The establishment of the FSA as an integrated regulator, is scheduled for next summer.  This requires a rewriting of the entire UK rulebook, but other countries are also covered.   Clifford Chance is ISDA’s consultant.</w:t>
      </w:r>
    </w:p>
    <w:p>
      <w:pPr>
        <w:pStyle w:val="BlockText"/>
        <w:tabs>
          <w:tab w:val="clear" w:pos="720"/>
          <w:tab w:val="left" w:pos="7797" w:leader="none"/>
        </w:tabs>
        <w:ind w:end="85"/>
        <w:rPr>
          <w:sz w:val="24"/>
        </w:rPr>
      </w:pPr>
      <w:r>
        <w:rPr>
          <w:sz w:val="24"/>
        </w:rPr>
      </w:r>
    </w:p>
    <w:p>
      <w:pPr>
        <w:pStyle w:val="Heading1"/>
        <w:ind w:hanging="0" w:start="0"/>
        <w:rPr>
          <w:b/>
          <w:sz w:val="24"/>
          <w:u w:val="none"/>
        </w:rPr>
      </w:pPr>
      <w:r>
        <w:rPr>
          <w:b/>
          <w:sz w:val="24"/>
          <w:u w:val="none"/>
        </w:rPr>
        <w:t>Current EU Activities</w:t>
      </w:r>
    </w:p>
    <w:p>
      <w:pPr>
        <w:pStyle w:val="Normal"/>
        <w:jc w:val="both"/>
        <w:rPr>
          <w:b/>
          <w:sz w:val="24"/>
          <w:u w:val="none"/>
        </w:rPr>
      </w:pPr>
      <w:r>
        <w:rPr>
          <w:b/>
          <w:sz w:val="24"/>
          <w:u w:val="none"/>
        </w:rPr>
      </w:r>
    </w:p>
    <w:p>
      <w:pPr>
        <w:pStyle w:val="Normal"/>
        <w:numPr>
          <w:ilvl w:val="0"/>
          <w:numId w:val="21"/>
        </w:numPr>
        <w:ind w:hanging="360" w:start="1080" w:end="0"/>
        <w:jc w:val="both"/>
        <w:rPr>
          <w:sz w:val="24"/>
        </w:rPr>
      </w:pPr>
      <w:r>
        <w:rPr>
          <w:sz w:val="24"/>
          <w:u w:val="single"/>
        </w:rPr>
        <w:t>EU Communication on treatment of sophisticated investors under the ISD.</w:t>
      </w:r>
      <w:r>
        <w:rPr>
          <w:sz w:val="24"/>
        </w:rPr>
        <w:t xml:space="preserve">  ISDA has lobbied for a country of origin approach to avoid double regulation of inter-professional business, and for a light regime to be applied to professionals.  A Communication is expected from the EU Commission shortly.  ISDA met the Commission on 12 July to follow up on its paper of 17 April and will send another comment letter to the Commission by end July. ISDA also met UK authorities on 26 July to seek UK support for its position.</w:t>
        <w:tab/>
        <w:br/>
      </w:r>
    </w:p>
    <w:p>
      <w:pPr>
        <w:pStyle w:val="Normal"/>
        <w:numPr>
          <w:ilvl w:val="0"/>
          <w:numId w:val="21"/>
        </w:numPr>
        <w:ind w:hanging="360" w:start="1080" w:end="0"/>
        <w:jc w:val="both"/>
        <w:rPr>
          <w:sz w:val="24"/>
        </w:rPr>
      </w:pPr>
      <w:r>
        <w:rPr>
          <w:sz w:val="24"/>
          <w:u w:val="single"/>
        </w:rPr>
        <w:t>Review of the ISD.</w:t>
      </w:r>
      <w:r>
        <w:rPr>
          <w:sz w:val="24"/>
        </w:rPr>
        <w:t xml:space="preserve">  A “Green Paper” is expected from the Commission in the autumn focussing on the regulation of new electronic trading and clearing systems.  There is a danger that such trading systems will be subject to regulation as exchanges and clearing systems will be subject to capital requirements.  ISDA is working on a submission arguing that electronic trading of OTC derivatives raises no new regulatory concerns and will </w:t>
      </w:r>
      <w:r>
        <w:rPr>
          <w:b/>
          <w:sz w:val="24"/>
          <w:u w:val="single"/>
        </w:rPr>
        <w:t>respond by 4 August</w:t>
      </w:r>
      <w:r>
        <w:rPr>
          <w:sz w:val="24"/>
        </w:rPr>
        <w:t>.</w:t>
        <w:tab/>
        <w:br/>
      </w:r>
    </w:p>
    <w:p>
      <w:pPr>
        <w:pStyle w:val="Normal"/>
        <w:numPr>
          <w:ilvl w:val="0"/>
          <w:numId w:val="21"/>
        </w:numPr>
        <w:ind w:hanging="360" w:start="1080" w:end="0"/>
        <w:jc w:val="both"/>
        <w:rPr>
          <w:sz w:val="24"/>
        </w:rPr>
      </w:pPr>
      <w:r>
        <w:rPr>
          <w:sz w:val="24"/>
          <w:u w:val="single"/>
        </w:rPr>
        <w:t>Directive on market manipulation.</w:t>
      </w:r>
      <w:r>
        <w:rPr>
          <w:sz w:val="24"/>
        </w:rPr>
        <w:t xml:space="preserve">  A proposal is expected from the Commission by early next year.  ISDA has already submitted a comment paper pointing out the difficulties in trying to harmonise regulation in this area before the member states have agreed on how to define market manipulation and on how to allocate regulatory responsibility in a cross border context.  A further </w:t>
      </w:r>
      <w:r>
        <w:rPr>
          <w:b/>
          <w:sz w:val="24"/>
          <w:u w:val="single"/>
        </w:rPr>
        <w:t>paper will be required by end October</w:t>
      </w:r>
      <w:r>
        <w:rPr>
          <w:sz w:val="24"/>
        </w:rPr>
        <w:t>.</w:t>
        <w:tab/>
        <w:br/>
      </w:r>
    </w:p>
    <w:p>
      <w:pPr>
        <w:pStyle w:val="Normal"/>
        <w:numPr>
          <w:ilvl w:val="0"/>
          <w:numId w:val="21"/>
        </w:numPr>
        <w:ind w:hanging="360" w:start="1080" w:end="0"/>
        <w:jc w:val="both"/>
        <w:rPr>
          <w:sz w:val="24"/>
        </w:rPr>
      </w:pPr>
      <w:r>
        <w:rPr>
          <w:sz w:val="24"/>
          <w:u w:val="single"/>
        </w:rPr>
        <w:t>Wholesale Industry Forum.</w:t>
      </w:r>
      <w:r>
        <w:rPr>
          <w:sz w:val="24"/>
        </w:rPr>
        <w:t xml:space="preserve">  ISDA has organised 2 cross industry forums to discuss these three EU issues.  Another forum will take place in Stockholm in November in advance of the Swedish Presidency and the discussion at ECOFIN of the “Wise Mens’” interim report.</w:t>
        <w:tab/>
      </w:r>
      <w:r>
        <w:rPr>
          <w:sz w:val="24"/>
          <w:u w:val="single"/>
        </w:rPr>
        <w:br/>
      </w:r>
    </w:p>
    <w:p>
      <w:pPr>
        <w:pStyle w:val="Normal"/>
        <w:numPr>
          <w:ilvl w:val="0"/>
          <w:numId w:val="21"/>
        </w:numPr>
        <w:ind w:hanging="360" w:start="1080" w:end="0"/>
        <w:jc w:val="both"/>
        <w:rPr>
          <w:sz w:val="24"/>
        </w:rPr>
      </w:pPr>
      <w:r>
        <w:rPr>
          <w:sz w:val="24"/>
          <w:u w:val="single"/>
        </w:rPr>
        <w:t>European Parliament Financial Services Forum (EPFSF).</w:t>
      </w:r>
      <w:r>
        <w:rPr>
          <w:sz w:val="24"/>
        </w:rPr>
        <w:t xml:space="preserve">  ISDA was a founder member of this group which seeks to engage the EP in debate on financial services issues.  ISDA drafted the briefing for the last Forum (on Basel reform) and will be responsible for preparing one in the 2001 on wholesale markets.   Meetings are approximately every month.</w:t>
      </w:r>
    </w:p>
    <w:p>
      <w:pPr>
        <w:pStyle w:val="Normal"/>
        <w:jc w:val="both"/>
        <w:rPr>
          <w:sz w:val="24"/>
        </w:rPr>
      </w:pPr>
      <w:r>
        <w:rPr>
          <w:sz w:val="24"/>
        </w:rPr>
      </w:r>
    </w:p>
    <w:p>
      <w:pPr>
        <w:pStyle w:val="Heading1"/>
        <w:ind w:hanging="0" w:start="0"/>
        <w:rPr>
          <w:b/>
          <w:sz w:val="24"/>
          <w:u w:val="none"/>
        </w:rPr>
      </w:pPr>
      <w:r>
        <w:rPr>
          <w:b/>
          <w:sz w:val="24"/>
          <w:u w:val="none"/>
        </w:rPr>
        <w:t>Current National Activities</w:t>
      </w:r>
    </w:p>
    <w:p>
      <w:pPr>
        <w:pStyle w:val="Normal"/>
        <w:jc w:val="both"/>
        <w:rPr>
          <w:b/>
          <w:sz w:val="24"/>
          <w:u w:val="none"/>
        </w:rPr>
      </w:pPr>
      <w:r>
        <w:rPr>
          <w:b/>
          <w:sz w:val="24"/>
          <w:u w:val="none"/>
        </w:rPr>
      </w:r>
    </w:p>
    <w:p>
      <w:pPr>
        <w:pStyle w:val="Normal"/>
        <w:numPr>
          <w:ilvl w:val="0"/>
          <w:numId w:val="18"/>
        </w:numPr>
        <w:tabs>
          <w:tab w:val="clear" w:pos="720"/>
          <w:tab w:val="left" w:pos="1080" w:leader="none"/>
        </w:tabs>
        <w:ind w:hanging="360" w:start="1080" w:end="0"/>
        <w:jc w:val="both"/>
        <w:rPr>
          <w:sz w:val="24"/>
        </w:rPr>
      </w:pPr>
      <w:r>
        <w:rPr>
          <w:sz w:val="24"/>
          <w:u w:val="single"/>
        </w:rPr>
        <w:t>UK.</w:t>
      </w:r>
      <w:r>
        <w:rPr>
          <w:sz w:val="24"/>
        </w:rPr>
        <w:t xml:space="preserve">  The FSA has so far issued 59 papers for consultation as part of the restructuring of the UK regulatory regime.  ISDA responds only to those affecting its market, often in conjunction with the UK trade associations.  The FSA recently issued for consultation the key papers affecting ISDA: its Inter-Professional Code (CP47), its Conduct of Business rulebook and its Categorisation of Investors (CPS 45 and 57) and its Market Abuse Code  (CP59). ISDA has responded on the collateral section of CP45.  ISDA will </w:t>
      </w:r>
      <w:r>
        <w:rPr>
          <w:b/>
          <w:sz w:val="24"/>
          <w:u w:val="single"/>
        </w:rPr>
        <w:t>respond on CP47 by 4 August</w:t>
      </w:r>
      <w:r>
        <w:rPr>
          <w:sz w:val="24"/>
        </w:rPr>
        <w:t xml:space="preserve">, on </w:t>
      </w:r>
      <w:r>
        <w:rPr>
          <w:b/>
          <w:sz w:val="24"/>
          <w:u w:val="single"/>
        </w:rPr>
        <w:t>CP57 by mid September</w:t>
      </w:r>
      <w:r>
        <w:rPr>
          <w:sz w:val="24"/>
        </w:rPr>
        <w:t xml:space="preserve"> and on </w:t>
      </w:r>
      <w:r>
        <w:rPr>
          <w:b/>
          <w:sz w:val="24"/>
          <w:u w:val="single"/>
        </w:rPr>
        <w:t>CP59 by mid October</w:t>
      </w:r>
      <w:r>
        <w:rPr>
          <w:sz w:val="24"/>
        </w:rPr>
        <w:t>.</w:t>
        <w:tab/>
        <w:br/>
      </w:r>
    </w:p>
    <w:p>
      <w:pPr>
        <w:pStyle w:val="Normal"/>
        <w:numPr>
          <w:ilvl w:val="0"/>
          <w:numId w:val="18"/>
        </w:numPr>
        <w:tabs>
          <w:tab w:val="clear" w:pos="720"/>
          <w:tab w:val="left" w:pos="1080" w:leader="none"/>
        </w:tabs>
        <w:ind w:hanging="360" w:start="1080" w:end="0"/>
        <w:jc w:val="both"/>
        <w:rPr>
          <w:sz w:val="24"/>
        </w:rPr>
      </w:pPr>
      <w:r>
        <w:rPr>
          <w:sz w:val="24"/>
          <w:u w:val="single"/>
        </w:rPr>
        <w:t xml:space="preserve">France. </w:t>
      </w:r>
      <w:r>
        <w:rPr>
          <w:sz w:val="24"/>
        </w:rPr>
        <w:t>ISDA raised the issue of the treatment of third country firms in France and obtained what members regard as reasonable satisfaction.  This topic will not be addressed again in the near future.</w:t>
      </w:r>
    </w:p>
    <w:p>
      <w:pPr>
        <w:pStyle w:val="Normal"/>
        <w:tabs>
          <w:tab w:val="clear" w:pos="720"/>
          <w:tab w:val="left" w:pos="1080" w:leader="none"/>
        </w:tabs>
        <w:ind w:start="720" w:end="0"/>
        <w:jc w:val="both"/>
        <w:rPr>
          <w:sz w:val="24"/>
        </w:rPr>
      </w:pPr>
      <w:r>
        <w:rPr>
          <w:sz w:val="24"/>
        </w:rPr>
      </w:r>
    </w:p>
    <w:p>
      <w:pPr>
        <w:pStyle w:val="Normal"/>
        <w:numPr>
          <w:ilvl w:val="0"/>
          <w:numId w:val="18"/>
        </w:numPr>
        <w:tabs>
          <w:tab w:val="clear" w:pos="720"/>
          <w:tab w:val="left" w:pos="1080" w:leader="none"/>
        </w:tabs>
        <w:ind w:hanging="360" w:start="1080" w:end="0"/>
        <w:jc w:val="both"/>
        <w:rPr>
          <w:sz w:val="24"/>
          <w:u w:val="single"/>
        </w:rPr>
      </w:pPr>
      <w:r>
        <w:rPr>
          <w:sz w:val="24"/>
          <w:u w:val="single"/>
        </w:rPr>
        <w:t>Ireland.</w:t>
      </w:r>
      <w:r>
        <w:rPr>
          <w:sz w:val="24"/>
        </w:rPr>
        <w:t xml:space="preserve">  ISDA has successfully objected to a proposed legal change that would worsen the position of third country firms dealing in Ireland.  ISDA will verify that this has been dropped </w:t>
      </w:r>
      <w:r>
        <w:rPr>
          <w:b/>
          <w:sz w:val="24"/>
          <w:u w:val="single"/>
        </w:rPr>
        <w:t>by September 2000</w:t>
      </w:r>
      <w:r>
        <w:rPr>
          <w:sz w:val="24"/>
        </w:rPr>
        <w:t>.</w:t>
      </w:r>
    </w:p>
    <w:p>
      <w:pPr>
        <w:pStyle w:val="Normal"/>
        <w:jc w:val="both"/>
        <w:rPr>
          <w:sz w:val="24"/>
          <w:u w:val="single"/>
        </w:rPr>
      </w:pPr>
      <w:r>
        <w:rPr>
          <w:sz w:val="24"/>
          <w:u w:val="single"/>
        </w:rPr>
      </w:r>
    </w:p>
    <w:p>
      <w:pPr>
        <w:pStyle w:val="Normal"/>
        <w:jc w:val="both"/>
        <w:rPr>
          <w:sz w:val="24"/>
        </w:rPr>
      </w:pPr>
      <w:r>
        <w:rPr>
          <w:sz w:val="24"/>
        </w:rPr>
        <w:t xml:space="preserve">  </w:t>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Normal"/>
        <w:spacing w:lineRule="auto" w:line="360"/>
        <w:jc w:val="center"/>
        <w:rPr>
          <w:b/>
          <w:sz w:val="24"/>
        </w:rPr>
      </w:pPr>
      <w:r>
        <w:rPr>
          <w:b/>
          <w:sz w:val="24"/>
        </w:rPr>
      </w:r>
    </w:p>
    <w:p>
      <w:pPr>
        <w:pStyle w:val="Heading"/>
        <w:rPr>
          <w:sz w:val="28"/>
        </w:rPr>
      </w:pPr>
      <w:r>
        <w:rPr>
          <w:sz w:val="28"/>
        </w:rPr>
        <w:t>ISDA Japan Committees</w:t>
      </w:r>
    </w:p>
    <w:p>
      <w:pPr>
        <w:pStyle w:val="Heading5"/>
        <w:ind w:hanging="0" w:start="0"/>
        <w:rPr/>
      </w:pPr>
      <w:r>
        <w:rPr/>
        <w:t>Chairs: Tsuyoshi Hase, IBJ Nomura Financial Products</w:t>
      </w:r>
    </w:p>
    <w:p>
      <w:pPr>
        <w:pStyle w:val="Heading5"/>
        <w:ind w:hanging="0" w:start="0"/>
        <w:rPr/>
      </w:pPr>
      <w:r>
        <w:rPr/>
        <w:t>Kazuhiko Koshikawa, The Sanwa Bank, Limited</w:t>
      </w:r>
    </w:p>
    <w:p>
      <w:pPr>
        <w:pStyle w:val="Heading5"/>
        <w:ind w:hanging="0" w:start="0"/>
        <w:rPr/>
      </w:pPr>
      <w:r>
        <w:rPr/>
        <w:t>Teruo Tanaka, The Industrial Bank of Japan Limited</w:t>
      </w:r>
    </w:p>
    <w:p>
      <w:pPr>
        <w:pStyle w:val="Normal"/>
        <w:ind w:end="992"/>
        <w:jc w:val="both"/>
        <w:rPr>
          <w:sz w:val="24"/>
        </w:rPr>
      </w:pPr>
      <w:r>
        <w:rPr>
          <w:sz w:val="24"/>
        </w:rPr>
      </w:r>
    </w:p>
    <w:p>
      <w:pPr>
        <w:pStyle w:val="Subtitle"/>
        <w:jc w:val="both"/>
        <w:rPr>
          <w:rFonts w:ascii="Times New Roman" w:hAnsi="Times New Roman" w:cs="Times New Roman"/>
          <w:sz w:val="24"/>
        </w:rPr>
      </w:pPr>
      <w:r>
        <w:rPr>
          <w:rFonts w:cs="Times New Roman" w:ascii="Times New Roman" w:hAnsi="Times New Roman"/>
          <w:sz w:val="24"/>
        </w:rPr>
        <w:t>Overview</w:t>
      </w:r>
    </w:p>
    <w:p>
      <w:pPr>
        <w:pStyle w:val="Normal"/>
        <w:jc w:val="both"/>
        <w:rPr>
          <w:rFonts w:ascii="Times New Roman" w:hAnsi="Times New Roman" w:cs="Times New Roman"/>
          <w:b/>
          <w:sz w:val="24"/>
        </w:rPr>
      </w:pPr>
      <w:r>
        <w:rPr>
          <w:rFonts w:cs="Times New Roman"/>
          <w:b/>
          <w:sz w:val="24"/>
        </w:rPr>
      </w:r>
    </w:p>
    <w:p>
      <w:pPr>
        <w:pStyle w:val="Normal"/>
        <w:jc w:val="both"/>
        <w:rPr/>
      </w:pPr>
      <w:r>
        <w:rPr>
          <w:sz w:val="24"/>
        </w:rPr>
        <w:t xml:space="preserve">ISDA Japanese Members continue to develop and expand their activities through </w:t>
      </w:r>
      <w:r>
        <w:rPr>
          <w:sz w:val="24"/>
        </w:rPr>
        <w:t>various committees under the direction of a Steering Committee.</w:t>
      </w:r>
      <w:r>
        <w:rPr>
          <w:sz w:val="24"/>
        </w:rPr>
        <w:t xml:space="preserve"> The Steering Committee</w:t>
      </w:r>
      <w:r>
        <w:rPr>
          <w:sz w:val="24"/>
        </w:rPr>
        <w:t>’</w:t>
      </w:r>
      <w:r>
        <w:rPr>
          <w:sz w:val="24"/>
        </w:rPr>
        <w:t xml:space="preserve">s </w:t>
      </w:r>
      <w:r>
        <w:rPr>
          <w:sz w:val="24"/>
        </w:rPr>
        <w:t>mission</w:t>
      </w:r>
      <w:r>
        <w:rPr>
          <w:sz w:val="24"/>
        </w:rPr>
        <w:t xml:space="preserve"> is to determine, develop, and enhance locally based committees, task forces, </w:t>
      </w:r>
      <w:r>
        <w:rPr>
          <w:sz w:val="24"/>
        </w:rPr>
        <w:t>working</w:t>
      </w:r>
      <w:r>
        <w:rPr>
          <w:sz w:val="24"/>
        </w:rPr>
        <w:t xml:space="preserve"> groups and educational programs that focus on international and domestic industry issues.</w:t>
      </w:r>
      <w:r>
        <w:rPr>
          <w:sz w:val="24"/>
        </w:rPr>
        <w:t xml:space="preserve"> The specific subject matter committees include the following:</w:t>
      </w:r>
    </w:p>
    <w:p>
      <w:pPr>
        <w:pStyle w:val="Normal"/>
        <w:jc w:val="both"/>
        <w:rPr>
          <w:sz w:val="24"/>
        </w:rPr>
      </w:pPr>
      <w:r>
        <w:rPr>
          <w:sz w:val="24"/>
        </w:rPr>
      </w:r>
    </w:p>
    <w:p>
      <w:pPr>
        <w:pStyle w:val="Normal"/>
        <w:jc w:val="both"/>
        <w:rPr>
          <w:b/>
          <w:sz w:val="24"/>
        </w:rPr>
      </w:pPr>
      <w:r>
        <w:rPr>
          <w:b/>
          <w:sz w:val="24"/>
        </w:rPr>
        <w:t>Collateral Committee</w:t>
      </w:r>
    </w:p>
    <w:p>
      <w:pPr>
        <w:pStyle w:val="Normal"/>
        <w:numPr>
          <w:ilvl w:val="0"/>
          <w:numId w:val="7"/>
        </w:numPr>
        <w:jc w:val="both"/>
        <w:rPr>
          <w:sz w:val="24"/>
        </w:rPr>
      </w:pPr>
      <w:r>
        <w:rPr>
          <w:sz w:val="24"/>
        </w:rPr>
        <w:t xml:space="preserve">The goals of the Collateral Committee are to enhance the use of collateralization as a credit risk protection tool, to resolve unique problems in collateral management that may occur only in Japanese derivatives business and to establish guidelines for collateral management in Japan.  The committee </w:t>
      </w:r>
      <w:r>
        <w:rPr>
          <w:sz w:val="24"/>
        </w:rPr>
        <w:t>consists of</w:t>
      </w:r>
      <w:r>
        <w:rPr>
          <w:sz w:val="24"/>
        </w:rPr>
        <w:t xml:space="preserve"> the following Working Groups:</w:t>
      </w:r>
    </w:p>
    <w:p>
      <w:pPr>
        <w:pStyle w:val="Normal"/>
        <w:numPr>
          <w:ilvl w:val="0"/>
          <w:numId w:val="16"/>
        </w:numPr>
        <w:ind w:hanging="360" w:start="1080" w:end="0"/>
        <w:jc w:val="both"/>
        <w:rPr>
          <w:sz w:val="24"/>
        </w:rPr>
      </w:pPr>
      <w:r>
        <w:rPr>
          <w:sz w:val="24"/>
        </w:rPr>
        <w:t>Legal Working Group</w:t>
      </w:r>
    </w:p>
    <w:p>
      <w:pPr>
        <w:pStyle w:val="Normal"/>
        <w:numPr>
          <w:ilvl w:val="0"/>
          <w:numId w:val="16"/>
        </w:numPr>
        <w:ind w:hanging="360" w:start="1080" w:end="0"/>
        <w:jc w:val="both"/>
        <w:rPr>
          <w:sz w:val="24"/>
        </w:rPr>
      </w:pPr>
      <w:r>
        <w:rPr>
          <w:sz w:val="24"/>
        </w:rPr>
        <w:t>Operations Working Group</w:t>
      </w:r>
    </w:p>
    <w:p>
      <w:pPr>
        <w:pStyle w:val="Normal"/>
        <w:numPr>
          <w:ilvl w:val="0"/>
          <w:numId w:val="16"/>
        </w:numPr>
        <w:ind w:hanging="360" w:start="1080" w:end="0"/>
        <w:jc w:val="both"/>
        <w:rPr>
          <w:sz w:val="24"/>
        </w:rPr>
      </w:pPr>
      <w:r>
        <w:rPr>
          <w:sz w:val="24"/>
        </w:rPr>
        <w:t>Tax, Accounting and Regulatory Working Group</w:t>
      </w:r>
    </w:p>
    <w:p>
      <w:pPr>
        <w:pStyle w:val="Normal"/>
        <w:numPr>
          <w:ilvl w:val="0"/>
          <w:numId w:val="16"/>
        </w:numPr>
        <w:ind w:hanging="360" w:start="1080" w:end="0"/>
        <w:jc w:val="both"/>
        <w:rPr>
          <w:sz w:val="24"/>
        </w:rPr>
      </w:pPr>
      <w:r>
        <w:rPr>
          <w:sz w:val="24"/>
        </w:rPr>
        <w:t>Credit Risk Management Group</w:t>
      </w:r>
    </w:p>
    <w:p>
      <w:pPr>
        <w:pStyle w:val="Normal"/>
        <w:ind w:start="105" w:end="0"/>
        <w:jc w:val="both"/>
        <w:rPr>
          <w:sz w:val="24"/>
        </w:rPr>
      </w:pPr>
      <w:r>
        <w:rPr>
          <w:sz w:val="24"/>
        </w:rPr>
      </w:r>
    </w:p>
    <w:p>
      <w:pPr>
        <w:pStyle w:val="Normal"/>
        <w:numPr>
          <w:ilvl w:val="0"/>
          <w:numId w:val="25"/>
        </w:numPr>
        <w:jc w:val="both"/>
        <w:rPr>
          <w:sz w:val="24"/>
        </w:rPr>
      </w:pPr>
      <w:r>
        <w:rPr>
          <w:sz w:val="24"/>
        </w:rPr>
        <w:t>C</w:t>
      </w:r>
      <w:r>
        <w:rPr>
          <w:sz w:val="24"/>
        </w:rPr>
        <w:t>urrent projects/activities:</w:t>
      </w:r>
    </w:p>
    <w:p>
      <w:pPr>
        <w:pStyle w:val="Normal"/>
        <w:numPr>
          <w:ilvl w:val="0"/>
          <w:numId w:val="36"/>
        </w:numPr>
        <w:ind w:hanging="360" w:start="1080" w:end="0"/>
        <w:jc w:val="both"/>
        <w:rPr>
          <w:sz w:val="24"/>
        </w:rPr>
      </w:pPr>
      <w:r>
        <w:rPr>
          <w:sz w:val="24"/>
        </w:rPr>
        <w:t>ISDA Tokyo Collateral (Regional) Survey to be completed by September, 2000.</w:t>
      </w:r>
    </w:p>
    <w:p>
      <w:pPr>
        <w:pStyle w:val="BodyText"/>
        <w:numPr>
          <w:ilvl w:val="0"/>
          <w:numId w:val="36"/>
        </w:numPr>
        <w:ind w:hanging="360" w:start="1080" w:end="0"/>
        <w:rPr>
          <w:sz w:val="24"/>
        </w:rPr>
      </w:pPr>
      <w:r>
        <w:rPr>
          <w:sz w:val="24"/>
        </w:rPr>
        <w:t>Waiting for the responses for the comments upon the 2000 ISDA Credit Support Provisions that were sent by ISDA Tokyo members.  Conducting further discussion over the responses.</w:t>
      </w:r>
    </w:p>
    <w:p>
      <w:pPr>
        <w:pStyle w:val="Normal"/>
        <w:jc w:val="both"/>
        <w:rPr>
          <w:sz w:val="24"/>
        </w:rPr>
      </w:pPr>
      <w:r>
        <w:rPr>
          <w:sz w:val="24"/>
        </w:rPr>
      </w:r>
    </w:p>
    <w:p>
      <w:pPr>
        <w:pStyle w:val="Normal"/>
        <w:jc w:val="both"/>
        <w:rPr>
          <w:b/>
          <w:sz w:val="24"/>
        </w:rPr>
      </w:pPr>
      <w:r>
        <w:rPr>
          <w:b/>
          <w:sz w:val="24"/>
        </w:rPr>
        <w:t>Documentation Committee</w:t>
      </w:r>
    </w:p>
    <w:p>
      <w:pPr>
        <w:pStyle w:val="Normal"/>
        <w:numPr>
          <w:ilvl w:val="0"/>
          <w:numId w:val="58"/>
        </w:numPr>
        <w:jc w:val="both"/>
        <w:rPr>
          <w:sz w:val="24"/>
        </w:rPr>
      </w:pPr>
      <w:r>
        <w:rPr>
          <w:sz w:val="24"/>
        </w:rPr>
        <w:t>The Documentation Committee reviews various ISDA publications from Japanese legal and practical perspective.  The committee currently has the following sub-committees to focus on particular issues:</w:t>
      </w:r>
    </w:p>
    <w:p>
      <w:pPr>
        <w:pStyle w:val="Normal"/>
        <w:numPr>
          <w:ilvl w:val="0"/>
          <w:numId w:val="68"/>
        </w:numPr>
        <w:ind w:hanging="360" w:start="1080" w:end="0"/>
        <w:jc w:val="both"/>
        <w:rPr>
          <w:sz w:val="24"/>
        </w:rPr>
      </w:pPr>
      <w:r>
        <w:rPr>
          <w:sz w:val="24"/>
        </w:rPr>
        <w:t>Credit Derivatives Documentation Sub-Committee</w:t>
      </w:r>
    </w:p>
    <w:p>
      <w:pPr>
        <w:pStyle w:val="Normal"/>
        <w:numPr>
          <w:ilvl w:val="0"/>
          <w:numId w:val="68"/>
        </w:numPr>
        <w:ind w:hanging="360" w:start="1080" w:end="0"/>
        <w:jc w:val="both"/>
        <w:rPr>
          <w:sz w:val="24"/>
        </w:rPr>
      </w:pPr>
      <w:r>
        <w:rPr>
          <w:sz w:val="24"/>
        </w:rPr>
        <w:t>Other Documentation Sub-Committee</w:t>
      </w:r>
    </w:p>
    <w:p>
      <w:pPr>
        <w:pStyle w:val="Normal"/>
        <w:ind w:start="105" w:end="0"/>
        <w:jc w:val="both"/>
        <w:rPr>
          <w:sz w:val="24"/>
        </w:rPr>
      </w:pPr>
      <w:r>
        <w:rPr>
          <w:sz w:val="24"/>
        </w:rPr>
      </w:r>
    </w:p>
    <w:p>
      <w:pPr>
        <w:pStyle w:val="Normal"/>
        <w:numPr>
          <w:ilvl w:val="0"/>
          <w:numId w:val="74"/>
        </w:numPr>
        <w:jc w:val="both"/>
        <w:rPr>
          <w:sz w:val="24"/>
        </w:rPr>
      </w:pPr>
      <w:r>
        <w:rPr>
          <w:sz w:val="24"/>
        </w:rPr>
        <w:t>The current projects/activities are:</w:t>
      </w:r>
    </w:p>
    <w:p>
      <w:pPr>
        <w:pStyle w:val="Normal"/>
        <w:numPr>
          <w:ilvl w:val="0"/>
          <w:numId w:val="41"/>
        </w:numPr>
        <w:ind w:hanging="360" w:start="1080" w:end="0"/>
        <w:jc w:val="both"/>
        <w:rPr>
          <w:sz w:val="24"/>
        </w:rPr>
      </w:pPr>
      <w:r>
        <w:rPr>
          <w:sz w:val="24"/>
        </w:rPr>
        <w:t xml:space="preserve">Providing a discussion forum regarding </w:t>
      </w:r>
      <w:r>
        <w:rPr>
          <w:sz w:val="24"/>
        </w:rPr>
        <w:t>new</w:t>
      </w:r>
      <w:r>
        <w:rPr>
          <w:sz w:val="24"/>
        </w:rPr>
        <w:t xml:space="preserve"> protocols on Force Majeure and Sections 5 &amp; 6 by the end of 2000.</w:t>
      </w:r>
    </w:p>
    <w:p>
      <w:pPr>
        <w:pStyle w:val="Normal"/>
        <w:numPr>
          <w:ilvl w:val="0"/>
          <w:numId w:val="41"/>
        </w:numPr>
        <w:ind w:hanging="360" w:start="1080" w:end="0"/>
        <w:jc w:val="both"/>
        <w:rPr>
          <w:sz w:val="24"/>
        </w:rPr>
      </w:pPr>
      <w:r>
        <w:rPr>
          <w:sz w:val="24"/>
        </w:rPr>
        <w:t>Providing a discussion forum regarding Ring Fencing by the end of 2000.</w:t>
      </w:r>
    </w:p>
    <w:p>
      <w:pPr>
        <w:pStyle w:val="Normal"/>
        <w:numPr>
          <w:ilvl w:val="0"/>
          <w:numId w:val="41"/>
        </w:numPr>
        <w:ind w:hanging="360" w:start="1080" w:end="0"/>
        <w:jc w:val="both"/>
        <w:rPr>
          <w:sz w:val="24"/>
        </w:rPr>
      </w:pPr>
      <w:r>
        <w:rPr>
          <w:sz w:val="24"/>
        </w:rPr>
        <w:t>Reviewing the 2000 ISDA Definitions when it is ready.</w:t>
      </w:r>
    </w:p>
    <w:p>
      <w:pPr>
        <w:pStyle w:val="Normal"/>
        <w:numPr>
          <w:ilvl w:val="0"/>
          <w:numId w:val="41"/>
        </w:numPr>
        <w:ind w:hanging="360" w:start="1080" w:end="0"/>
        <w:jc w:val="both"/>
        <w:rPr>
          <w:sz w:val="24"/>
        </w:rPr>
      </w:pPr>
      <w:r>
        <w:rPr>
          <w:sz w:val="24"/>
        </w:rPr>
        <w:t xml:space="preserve">Producing Japanese translation of 1999 ISDA Credit Derivatives Definitions by October, 2000 </w:t>
      </w:r>
      <w:r>
        <w:rPr>
          <w:sz w:val="24"/>
        </w:rPr>
        <w:t>–</w:t>
      </w:r>
      <w:r>
        <w:rPr>
          <w:sz w:val="24"/>
        </w:rPr>
        <w:t xml:space="preserve"> possibly to be distributed at the Tokyo Update.  </w:t>
      </w:r>
    </w:p>
    <w:p>
      <w:pPr>
        <w:pStyle w:val="Normal"/>
        <w:numPr>
          <w:ilvl w:val="0"/>
          <w:numId w:val="60"/>
        </w:numPr>
        <w:ind w:hanging="360" w:start="1080" w:end="0"/>
        <w:jc w:val="both"/>
        <w:rPr>
          <w:sz w:val="24"/>
        </w:rPr>
      </w:pPr>
      <w:r>
        <w:rPr>
          <w:sz w:val="24"/>
        </w:rPr>
        <w:t xml:space="preserve">Producing Japanese guide to 1998 ISDA FX and Currency Option Definitions (collaboration with the Tokyo FX Markets Committee) by October, 2000 </w:t>
      </w:r>
      <w:r>
        <w:rPr>
          <w:sz w:val="24"/>
        </w:rPr>
        <w:t>–</w:t>
      </w:r>
      <w:r>
        <w:rPr>
          <w:sz w:val="24"/>
        </w:rPr>
        <w:t xml:space="preserve"> possibly to be distributed at the Tokyo Update.</w:t>
      </w:r>
    </w:p>
    <w:p>
      <w:pPr>
        <w:pStyle w:val="Normal"/>
        <w:numPr>
          <w:ilvl w:val="0"/>
          <w:numId w:val="60"/>
        </w:numPr>
        <w:ind w:hanging="360" w:start="1080" w:end="0"/>
        <w:jc w:val="both"/>
        <w:rPr>
          <w:sz w:val="24"/>
        </w:rPr>
      </w:pPr>
      <w:r>
        <w:rPr>
          <w:sz w:val="24"/>
        </w:rPr>
        <w:t>Equity Derivatives Sub-Committee to be established, subject to appointment of suitable voluntary chairs.</w:t>
      </w:r>
    </w:p>
    <w:p>
      <w:pPr>
        <w:pStyle w:val="Normal"/>
        <w:numPr>
          <w:ilvl w:val="0"/>
          <w:numId w:val="60"/>
        </w:numPr>
        <w:ind w:hanging="360" w:start="1080" w:end="0"/>
        <w:jc w:val="both"/>
        <w:rPr>
          <w:sz w:val="24"/>
        </w:rPr>
      </w:pPr>
      <w:r>
        <w:rPr>
          <w:sz w:val="24"/>
        </w:rPr>
        <w:t xml:space="preserve">Electronic delivery of ISDA publications </w:t>
      </w:r>
      <w:r>
        <w:rPr>
          <w:sz w:val="24"/>
        </w:rPr>
        <w:t>–</w:t>
      </w:r>
      <w:r>
        <w:rPr>
          <w:sz w:val="24"/>
        </w:rPr>
        <w:t xml:space="preserve"> checked and reviewed ISDA Japanese member</w:t>
      </w:r>
      <w:r>
        <w:rPr>
          <w:sz w:val="24"/>
        </w:rPr>
        <w:t>’</w:t>
      </w:r>
      <w:r>
        <w:rPr>
          <w:sz w:val="24"/>
        </w:rPr>
        <w:t>s opinions in line with ISDA</w:t>
      </w:r>
      <w:r>
        <w:rPr>
          <w:sz w:val="24"/>
        </w:rPr>
        <w:t>’</w:t>
      </w:r>
      <w:r>
        <w:rPr>
          <w:sz w:val="24"/>
        </w:rPr>
        <w:t>s schedule on July 12, 2000.</w:t>
      </w:r>
    </w:p>
    <w:p>
      <w:pPr>
        <w:pStyle w:val="Normal"/>
        <w:ind w:start="105" w:end="0"/>
        <w:jc w:val="both"/>
        <w:rPr>
          <w:sz w:val="24"/>
        </w:rPr>
      </w:pPr>
      <w:r>
        <w:rPr>
          <w:sz w:val="24"/>
        </w:rPr>
      </w:r>
    </w:p>
    <w:p>
      <w:pPr>
        <w:pStyle w:val="Heading1"/>
        <w:ind w:hanging="0" w:start="0"/>
        <w:rPr>
          <w:b/>
          <w:sz w:val="24"/>
          <w:u w:val="none"/>
        </w:rPr>
      </w:pPr>
      <w:r>
        <w:rPr>
          <w:b/>
          <w:sz w:val="24"/>
          <w:u w:val="none"/>
        </w:rPr>
        <w:t>Operations Committee</w:t>
      </w:r>
    </w:p>
    <w:p>
      <w:pPr>
        <w:pStyle w:val="Normal"/>
        <w:numPr>
          <w:ilvl w:val="0"/>
          <w:numId w:val="62"/>
        </w:numPr>
        <w:ind w:hanging="360" w:start="465" w:end="0"/>
        <w:jc w:val="both"/>
        <w:rPr>
          <w:sz w:val="24"/>
        </w:rPr>
      </w:pPr>
      <w:r>
        <w:rPr>
          <w:sz w:val="24"/>
        </w:rPr>
        <w:t>The Operations Committee focuses on back-office related issues, such as automation projects, the operational issues surrounding new products and educational programs.  Much of the past years</w:t>
      </w:r>
      <w:r>
        <w:rPr>
          <w:sz w:val="24"/>
        </w:rPr>
        <w:t>’</w:t>
      </w:r>
      <w:r>
        <w:rPr>
          <w:sz w:val="24"/>
        </w:rPr>
        <w:t xml:space="preserve"> focus has been on collateralization. Upcoming revolutionary progress in IT will introduce the new concept of data processing in financial market.  Accordingly, the current key issues are the recognition of new technology of e-commerce and proactive interaction with it.  </w:t>
      </w:r>
    </w:p>
    <w:p>
      <w:pPr>
        <w:pStyle w:val="Normal"/>
        <w:ind w:start="105" w:end="0"/>
        <w:jc w:val="both"/>
        <w:rPr>
          <w:sz w:val="24"/>
        </w:rPr>
      </w:pPr>
      <w:r>
        <w:rPr>
          <w:sz w:val="24"/>
        </w:rPr>
      </w:r>
    </w:p>
    <w:p>
      <w:pPr>
        <w:pStyle w:val="Normal"/>
        <w:numPr>
          <w:ilvl w:val="0"/>
          <w:numId w:val="77"/>
        </w:numPr>
        <w:ind w:hanging="360" w:start="465" w:end="0"/>
        <w:jc w:val="both"/>
        <w:rPr>
          <w:sz w:val="24"/>
        </w:rPr>
      </w:pPr>
      <w:r>
        <w:rPr>
          <w:sz w:val="24"/>
        </w:rPr>
        <w:t>The current projects/activities are as follows:</w:t>
      </w:r>
    </w:p>
    <w:p>
      <w:pPr>
        <w:pStyle w:val="Normal"/>
        <w:numPr>
          <w:ilvl w:val="0"/>
          <w:numId w:val="50"/>
        </w:numPr>
        <w:ind w:hanging="360" w:start="1080" w:end="0"/>
        <w:jc w:val="both"/>
        <w:rPr>
          <w:sz w:val="24"/>
        </w:rPr>
      </w:pPr>
      <w:r>
        <w:rPr>
          <w:sz w:val="24"/>
        </w:rPr>
        <w:t xml:space="preserve">Holding forums on specific products and issues in e-commerce </w:t>
      </w:r>
      <w:r>
        <w:rPr>
          <w:sz w:val="24"/>
        </w:rPr>
        <w:t>–</w:t>
      </w:r>
      <w:r>
        <w:rPr>
          <w:sz w:val="24"/>
        </w:rPr>
        <w:t xml:space="preserve"> to find out the impact on operations globally and regionally by the end of 2000.</w:t>
      </w:r>
    </w:p>
    <w:p>
      <w:pPr>
        <w:pStyle w:val="Normal"/>
        <w:numPr>
          <w:ilvl w:val="0"/>
          <w:numId w:val="50"/>
        </w:numPr>
        <w:ind w:hanging="360" w:start="1080" w:end="0"/>
        <w:jc w:val="both"/>
        <w:rPr>
          <w:sz w:val="24"/>
        </w:rPr>
      </w:pPr>
      <w:r>
        <w:rPr>
          <w:sz w:val="24"/>
        </w:rPr>
        <w:t>Discussing issues of Electronic Authentication (Electronic Signature) by the end of 2000.</w:t>
      </w:r>
    </w:p>
    <w:p>
      <w:pPr>
        <w:pStyle w:val="Normal"/>
        <w:numPr>
          <w:ilvl w:val="0"/>
          <w:numId w:val="50"/>
        </w:numPr>
        <w:ind w:hanging="360" w:start="1080" w:end="0"/>
        <w:jc w:val="both"/>
        <w:rPr>
          <w:sz w:val="24"/>
        </w:rPr>
      </w:pPr>
      <w:r>
        <w:rPr>
          <w:sz w:val="24"/>
        </w:rPr>
        <w:t xml:space="preserve">Facilitating and addressing </w:t>
      </w:r>
      <w:r>
        <w:rPr>
          <w:sz w:val="24"/>
        </w:rPr>
        <w:t>“</w:t>
      </w:r>
      <w:r>
        <w:rPr>
          <w:sz w:val="24"/>
        </w:rPr>
        <w:t>new products</w:t>
      </w:r>
      <w:r>
        <w:rPr>
          <w:sz w:val="24"/>
        </w:rPr>
        <w:t>”</w:t>
      </w:r>
      <w:r>
        <w:rPr>
          <w:sz w:val="24"/>
        </w:rPr>
        <w:t xml:space="preserve"> from operations perspective by March, 2001.</w:t>
      </w:r>
    </w:p>
    <w:p>
      <w:pPr>
        <w:pStyle w:val="Normal"/>
        <w:ind w:start="105" w:end="0"/>
        <w:jc w:val="both"/>
        <w:rPr>
          <w:sz w:val="24"/>
        </w:rPr>
      </w:pPr>
      <w:r>
        <w:rPr>
          <w:sz w:val="24"/>
        </w:rPr>
      </w:r>
    </w:p>
    <w:p>
      <w:pPr>
        <w:pStyle w:val="Normal"/>
        <w:jc w:val="both"/>
        <w:rPr>
          <w:b/>
          <w:sz w:val="24"/>
        </w:rPr>
      </w:pPr>
      <w:r>
        <w:rPr>
          <w:b/>
          <w:sz w:val="24"/>
        </w:rPr>
        <w:t>Regulatory Committee</w:t>
      </w:r>
    </w:p>
    <w:p>
      <w:pPr>
        <w:pStyle w:val="Normal"/>
        <w:numPr>
          <w:ilvl w:val="0"/>
          <w:numId w:val="10"/>
        </w:numPr>
        <w:jc w:val="both"/>
        <w:rPr>
          <w:sz w:val="24"/>
        </w:rPr>
      </w:pPr>
      <w:r>
        <w:rPr>
          <w:sz w:val="24"/>
        </w:rPr>
        <w:t>The Regulatory Committee discusses the proposed or necessary changes to the laws and regulations affecting the Japanese members and/or the local derivatives markets.  The committee covers the following areas:</w:t>
      </w:r>
    </w:p>
    <w:p>
      <w:pPr>
        <w:pStyle w:val="Normal"/>
        <w:numPr>
          <w:ilvl w:val="0"/>
          <w:numId w:val="8"/>
        </w:numPr>
        <w:ind w:hanging="360" w:start="1080" w:end="0"/>
        <w:jc w:val="both"/>
        <w:rPr>
          <w:sz w:val="24"/>
        </w:rPr>
      </w:pPr>
      <w:r>
        <w:rPr>
          <w:sz w:val="24"/>
        </w:rPr>
        <w:t>Legislative</w:t>
      </w:r>
    </w:p>
    <w:p>
      <w:pPr>
        <w:pStyle w:val="Normal"/>
        <w:numPr>
          <w:ilvl w:val="0"/>
          <w:numId w:val="8"/>
        </w:numPr>
        <w:ind w:hanging="360" w:start="1080" w:end="0"/>
        <w:jc w:val="both"/>
        <w:rPr>
          <w:sz w:val="24"/>
        </w:rPr>
      </w:pPr>
      <w:r>
        <w:rPr>
          <w:sz w:val="24"/>
        </w:rPr>
        <w:t>Tax &amp; Accounting</w:t>
      </w:r>
    </w:p>
    <w:p>
      <w:pPr>
        <w:pStyle w:val="Normal"/>
        <w:numPr>
          <w:ilvl w:val="0"/>
          <w:numId w:val="8"/>
        </w:numPr>
        <w:ind w:hanging="360" w:start="1080" w:end="0"/>
        <w:jc w:val="both"/>
        <w:rPr>
          <w:sz w:val="24"/>
        </w:rPr>
      </w:pPr>
      <w:r>
        <w:rPr>
          <w:sz w:val="24"/>
        </w:rPr>
        <w:t>Capital Adequacy</w:t>
      </w:r>
    </w:p>
    <w:p>
      <w:pPr>
        <w:pStyle w:val="Normal"/>
        <w:ind w:start="105" w:end="0"/>
        <w:jc w:val="both"/>
        <w:rPr>
          <w:sz w:val="24"/>
        </w:rPr>
      </w:pPr>
      <w:r>
        <w:rPr>
          <w:sz w:val="24"/>
        </w:rPr>
      </w:r>
    </w:p>
    <w:p>
      <w:pPr>
        <w:pStyle w:val="Normal"/>
        <w:numPr>
          <w:ilvl w:val="0"/>
          <w:numId w:val="2"/>
        </w:numPr>
        <w:jc w:val="both"/>
        <w:rPr>
          <w:sz w:val="24"/>
        </w:rPr>
      </w:pPr>
      <w:r>
        <w:rPr>
          <w:sz w:val="24"/>
        </w:rPr>
        <w:t>The current projects/activities are as follows:</w:t>
      </w:r>
    </w:p>
    <w:p>
      <w:pPr>
        <w:pStyle w:val="Normal"/>
        <w:numPr>
          <w:ilvl w:val="0"/>
          <w:numId w:val="52"/>
        </w:numPr>
        <w:ind w:hanging="360" w:start="1080" w:end="0"/>
        <w:jc w:val="both"/>
        <w:rPr>
          <w:sz w:val="24"/>
        </w:rPr>
      </w:pPr>
      <w:r>
        <w:rPr>
          <w:sz w:val="24"/>
        </w:rPr>
        <w:t>Setting up the Capital Adequacy sub-committee in Tokyo by the end of 2000.  It will be a forum to exchange ideas on various risk management models.</w:t>
      </w:r>
    </w:p>
    <w:p>
      <w:pPr>
        <w:pStyle w:val="Normal"/>
        <w:ind w:start="105" w:end="0"/>
        <w:jc w:val="both"/>
        <w:rPr>
          <w:sz w:val="24"/>
        </w:rPr>
      </w:pPr>
      <w:r>
        <w:rPr>
          <w:sz w:val="24"/>
        </w:rPr>
      </w:r>
    </w:p>
    <w:p>
      <w:pPr>
        <w:pStyle w:val="Normal"/>
        <w:jc w:val="both"/>
        <w:rPr>
          <w:b/>
          <w:sz w:val="24"/>
        </w:rPr>
      </w:pPr>
      <w:r>
        <w:rPr>
          <w:b/>
          <w:sz w:val="24"/>
        </w:rPr>
        <w:t>Shadow Committee for non-Japanese speaking members</w:t>
      </w:r>
    </w:p>
    <w:p>
      <w:pPr>
        <w:pStyle w:val="Normal"/>
        <w:numPr>
          <w:ilvl w:val="0"/>
          <w:numId w:val="65"/>
        </w:numPr>
        <w:jc w:val="both"/>
        <w:rPr>
          <w:sz w:val="24"/>
        </w:rPr>
      </w:pPr>
      <w:r>
        <w:rPr>
          <w:sz w:val="24"/>
        </w:rPr>
        <w:t xml:space="preserve">The Shadow Committee is solely </w:t>
      </w:r>
      <w:r>
        <w:rPr>
          <w:sz w:val="24"/>
        </w:rPr>
        <w:t>targeted</w:t>
      </w:r>
      <w:r>
        <w:rPr>
          <w:sz w:val="24"/>
        </w:rPr>
        <w:t xml:space="preserve"> at </w:t>
      </w:r>
      <w:r>
        <w:rPr>
          <w:sz w:val="24"/>
        </w:rPr>
        <w:t>individuals</w:t>
      </w:r>
      <w:r>
        <w:rPr>
          <w:sz w:val="24"/>
        </w:rPr>
        <w:t xml:space="preserve"> who are not native Japanese speakers.  The committee intends to provide a forum for discussion of key areas in the Japanese derivatives market for the functionally non-Japanese speaking professional of ISDA member firms in Tokyo. The first meeting of the general Shadow Committee was held on June 27, 2000.  The following three sub-committees </w:t>
      </w:r>
      <w:r>
        <w:rPr>
          <w:sz w:val="24"/>
        </w:rPr>
        <w:t>were</w:t>
      </w:r>
      <w:r>
        <w:rPr>
          <w:sz w:val="24"/>
        </w:rPr>
        <w:t xml:space="preserve"> formed</w:t>
      </w:r>
      <w:r>
        <w:rPr>
          <w:sz w:val="24"/>
        </w:rPr>
        <w:t xml:space="preserve"> to address collateral, credit derivatives and general documentation issues.</w:t>
      </w:r>
    </w:p>
    <w:p>
      <w:pPr>
        <w:pStyle w:val="Normal"/>
        <w:jc w:val="both"/>
        <w:rPr>
          <w:sz w:val="24"/>
        </w:rPr>
      </w:pPr>
      <w:r>
        <w:rPr>
          <w:sz w:val="24"/>
        </w:rPr>
      </w:r>
    </w:p>
    <w:p>
      <w:pPr>
        <w:pStyle w:val="Normal"/>
        <w:numPr>
          <w:ilvl w:val="0"/>
          <w:numId w:val="12"/>
        </w:numPr>
        <w:jc w:val="both"/>
        <w:rPr>
          <w:sz w:val="24"/>
        </w:rPr>
      </w:pPr>
      <w:r>
        <w:rPr>
          <w:sz w:val="24"/>
        </w:rPr>
        <w:t>The current projects and activities are as follows:</w:t>
      </w:r>
    </w:p>
    <w:p>
      <w:pPr>
        <w:pStyle w:val="Normal"/>
        <w:numPr>
          <w:ilvl w:val="0"/>
          <w:numId w:val="37"/>
        </w:numPr>
        <w:ind w:hanging="360" w:start="1080" w:end="0"/>
        <w:jc w:val="both"/>
        <w:rPr>
          <w:sz w:val="24"/>
        </w:rPr>
      </w:pPr>
      <w:r>
        <w:rPr>
          <w:sz w:val="24"/>
        </w:rPr>
        <w:t>Collateral Sub-Committee</w:t>
      </w:r>
    </w:p>
    <w:p>
      <w:pPr>
        <w:pStyle w:val="BodyTextIndent"/>
        <w:numPr>
          <w:ilvl w:val="0"/>
          <w:numId w:val="17"/>
        </w:numPr>
        <w:ind w:hanging="360" w:start="1800" w:end="0"/>
        <w:rPr>
          <w:rFonts w:ascii="Times New Roman" w:hAnsi="Times New Roman" w:cs="Times New Roman"/>
          <w:sz w:val="24"/>
        </w:rPr>
      </w:pPr>
      <w:r>
        <w:rPr>
          <w:rFonts w:cs="Times New Roman" w:ascii="Times New Roman" w:hAnsi="Times New Roman"/>
          <w:sz w:val="24"/>
        </w:rPr>
        <w:t>The results of ISDA Tokyo Collateral (Regional) Survey will be fed back to the sub-committee for discussion.  The first meeting will be held by October, 2000.</w:t>
      </w:r>
    </w:p>
    <w:p>
      <w:pPr>
        <w:pStyle w:val="Normal"/>
        <w:numPr>
          <w:ilvl w:val="0"/>
          <w:numId w:val="5"/>
        </w:numPr>
        <w:ind w:hanging="360" w:start="1080" w:end="0"/>
        <w:jc w:val="both"/>
        <w:rPr>
          <w:sz w:val="24"/>
        </w:rPr>
      </w:pPr>
      <w:r>
        <w:rPr>
          <w:sz w:val="24"/>
        </w:rPr>
        <w:t>Credit Derivatives Sub-Committee</w:t>
      </w:r>
    </w:p>
    <w:p>
      <w:pPr>
        <w:pStyle w:val="BodyTextIndent2"/>
        <w:numPr>
          <w:ilvl w:val="0"/>
          <w:numId w:val="4"/>
        </w:numPr>
        <w:ind w:hanging="360" w:start="1800" w:end="0"/>
        <w:jc w:val="both"/>
        <w:rPr/>
      </w:pPr>
      <w:r>
        <w:rPr/>
        <w:t>Conducting overview of regulatory and legal factors influencing the use of credit derivatives with counterparties in Japan.  The understanding of Japanese legal aspects of credit derivatives transaction will be furthered by the non-Japanese speaking members with an input from Japanese legal counsel.  The first meeting will be held by October, 2000.</w:t>
      </w:r>
    </w:p>
    <w:p>
      <w:pPr>
        <w:pStyle w:val="Normal"/>
        <w:numPr>
          <w:ilvl w:val="0"/>
          <w:numId w:val="19"/>
        </w:numPr>
        <w:ind w:hanging="360" w:start="1080" w:end="0"/>
        <w:jc w:val="both"/>
        <w:rPr>
          <w:sz w:val="24"/>
        </w:rPr>
      </w:pPr>
      <w:r>
        <w:rPr>
          <w:sz w:val="24"/>
        </w:rPr>
        <w:t>General Documentation Sub-Committee</w:t>
      </w:r>
    </w:p>
    <w:p>
      <w:pPr>
        <w:pStyle w:val="Normal"/>
        <w:numPr>
          <w:ilvl w:val="0"/>
          <w:numId w:val="44"/>
        </w:numPr>
        <w:ind w:hanging="360" w:start="1800" w:end="0"/>
        <w:jc w:val="both"/>
        <w:rPr>
          <w:sz w:val="24"/>
        </w:rPr>
      </w:pPr>
      <w:r>
        <w:rPr>
          <w:sz w:val="24"/>
        </w:rPr>
        <w:t xml:space="preserve">Any aspects falling outside of the above would be discussed in this sub-committee.  This may include areas such as </w:t>
      </w:r>
      <w:r>
        <w:rPr>
          <w:sz w:val="24"/>
        </w:rPr>
        <w:t>“</w:t>
      </w:r>
      <w:r>
        <w:rPr>
          <w:sz w:val="24"/>
        </w:rPr>
        <w:t>new products</w:t>
      </w:r>
      <w:r>
        <w:rPr>
          <w:sz w:val="24"/>
        </w:rPr>
        <w:t>”</w:t>
      </w:r>
      <w:r>
        <w:rPr>
          <w:sz w:val="24"/>
        </w:rPr>
        <w:t xml:space="preserve"> which would include energy (oil, gas and electricity), earthquake/other catastrophe related derivatives, weather and </w:t>
      </w:r>
      <w:r>
        <w:rPr>
          <w:sz w:val="24"/>
        </w:rPr>
        <w:t>emissions</w:t>
      </w:r>
      <w:r>
        <w:rPr>
          <w:sz w:val="24"/>
        </w:rPr>
        <w:t xml:space="preserve"> trading. The first meeting will be held on July 26, 2000.</w:t>
      </w:r>
    </w:p>
    <w:p>
      <w:pPr>
        <w:pStyle w:val="Heading4"/>
        <w:jc w:val="both"/>
        <w:rPr>
          <w:sz w:val="24"/>
        </w:rPr>
      </w:pPr>
      <w:r>
        <w:rPr>
          <w:sz w:val="24"/>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Heading"/>
        <w:rPr>
          <w:b w:val="false"/>
          <w:sz w:val="24"/>
        </w:rPr>
      </w:pPr>
      <w:r>
        <w:rPr>
          <w:b w:val="false"/>
          <w:sz w:val="24"/>
        </w:rPr>
      </w:r>
    </w:p>
    <w:p>
      <w:pPr>
        <w:pStyle w:val="Heading"/>
        <w:rPr>
          <w:sz w:val="28"/>
        </w:rPr>
      </w:pPr>
      <w:r>
        <w:rPr>
          <w:sz w:val="28"/>
        </w:rPr>
        <w:t>ISDA Operations Committee</w:t>
      </w:r>
    </w:p>
    <w:p>
      <w:pPr>
        <w:pStyle w:val="Heading5"/>
        <w:ind w:hanging="0" w:start="0"/>
        <w:rPr/>
      </w:pPr>
      <w:r>
        <w:rPr/>
        <w:t xml:space="preserve">Chairs: Kazuhiko Koshikawa, The Sanwa Bank, Limited </w:t>
      </w:r>
    </w:p>
    <w:p>
      <w:pPr>
        <w:pStyle w:val="Heading5"/>
        <w:ind w:hanging="0" w:start="0"/>
        <w:rPr/>
      </w:pPr>
      <w:r>
        <w:rPr/>
        <w:t xml:space="preserve">Andrew Nicholson, Credit Suisse Financial Products </w:t>
      </w:r>
    </w:p>
    <w:p>
      <w:pPr>
        <w:pStyle w:val="Heading5"/>
        <w:ind w:hanging="0" w:start="0"/>
        <w:rPr/>
      </w:pPr>
      <w:r>
        <w:rPr/>
        <w:t>Neil Wright, The Chase Manhattan Bank</w:t>
      </w:r>
    </w:p>
    <w:p>
      <w:pPr>
        <w:pStyle w:val="Normal"/>
        <w:ind w:end="992"/>
        <w:rPr>
          <w:sz w:val="24"/>
        </w:rPr>
      </w:pPr>
      <w:r>
        <w:rPr>
          <w:sz w:val="24"/>
        </w:rPr>
      </w:r>
    </w:p>
    <w:p>
      <w:pPr>
        <w:pStyle w:val="Heading4"/>
        <w:jc w:val="both"/>
        <w:rPr>
          <w:sz w:val="24"/>
        </w:rPr>
      </w:pPr>
      <w:r>
        <w:rPr>
          <w:sz w:val="24"/>
        </w:rPr>
        <w:t>Overview</w:t>
      </w:r>
    </w:p>
    <w:p>
      <w:pPr>
        <w:pStyle w:val="Normal"/>
        <w:ind w:end="992"/>
        <w:jc w:val="both"/>
        <w:rPr>
          <w:sz w:val="24"/>
        </w:rPr>
      </w:pPr>
      <w:r>
        <w:rPr>
          <w:sz w:val="24"/>
        </w:rPr>
      </w:r>
    </w:p>
    <w:p>
      <w:pPr>
        <w:pStyle w:val="BodyText"/>
        <w:rPr>
          <w:sz w:val="24"/>
        </w:rPr>
      </w:pPr>
      <w:r>
        <w:rPr>
          <w:sz w:val="24"/>
        </w:rPr>
        <w:t>The ISDA Operations Committee addresses the concerns of operations professionals such as standardization and globalization of operations, the operational issues surrounding new products, and professional training. The Committee has frequent meetings in London and New York and, increasingly, joint telephonic meetings.  The Committee has chairs in North America and in Europe and input is received from members in Tokyo and the Asia Pacific regions. Regional Meetings are proposed for France and Germany, Singapore, Tokyo and Australia in Fall 2000.</w:t>
      </w:r>
    </w:p>
    <w:p>
      <w:pPr>
        <w:pStyle w:val="BodyText"/>
        <w:rPr>
          <w:sz w:val="24"/>
        </w:rPr>
      </w:pPr>
      <w:r>
        <w:rPr>
          <w:sz w:val="24"/>
        </w:rPr>
        <w:t xml:space="preserve"> </w:t>
      </w:r>
    </w:p>
    <w:p>
      <w:pPr>
        <w:pStyle w:val="BodyText"/>
        <w:rPr>
          <w:sz w:val="24"/>
        </w:rPr>
      </w:pPr>
      <w:r>
        <w:rPr>
          <w:sz w:val="24"/>
        </w:rPr>
        <w:t xml:space="preserve">Currently the work of the Committee has focused on development of operational standards, from a technical perspective in terms of straight-through processing and from a content perspective in terms of assessing and fostering standard trade practices within the operations environment. </w:t>
      </w:r>
    </w:p>
    <w:p>
      <w:pPr>
        <w:pStyle w:val="Normal"/>
        <w:jc w:val="both"/>
        <w:rPr>
          <w:sz w:val="24"/>
        </w:rPr>
      </w:pPr>
      <w:r>
        <w:rPr>
          <w:sz w:val="24"/>
        </w:rPr>
      </w:r>
    </w:p>
    <w:p>
      <w:pPr>
        <w:pStyle w:val="Heading1"/>
        <w:ind w:hanging="0" w:start="0"/>
        <w:rPr>
          <w:b/>
          <w:sz w:val="24"/>
          <w:u w:val="none"/>
        </w:rPr>
      </w:pPr>
      <w:r>
        <w:rPr>
          <w:b/>
          <w:sz w:val="24"/>
          <w:u w:val="none"/>
        </w:rPr>
        <w:t>Current Activities</w:t>
      </w:r>
    </w:p>
    <w:p>
      <w:pPr>
        <w:pStyle w:val="Normal"/>
        <w:jc w:val="both"/>
        <w:rPr>
          <w:b/>
          <w:sz w:val="24"/>
          <w:u w:val="none"/>
        </w:rPr>
      </w:pPr>
      <w:r>
        <w:rPr>
          <w:b/>
          <w:sz w:val="24"/>
          <w:u w:val="none"/>
        </w:rPr>
      </w:r>
    </w:p>
    <w:p>
      <w:pPr>
        <w:pStyle w:val="Normal"/>
        <w:tabs>
          <w:tab w:val="clear" w:pos="720"/>
          <w:tab w:val="left" w:pos="11482" w:leader="none"/>
        </w:tabs>
        <w:rPr>
          <w:sz w:val="24"/>
        </w:rPr>
      </w:pPr>
      <w:r>
        <w:rPr>
          <w:sz w:val="24"/>
        </w:rPr>
        <w:t>Establishment of electronic message standards for the exchange of confirmations</w:t>
      </w:r>
    </w:p>
    <w:p>
      <w:pPr>
        <w:pStyle w:val="Normal"/>
        <w:numPr>
          <w:ilvl w:val="0"/>
          <w:numId w:val="30"/>
        </w:numPr>
        <w:tabs>
          <w:tab w:val="clear" w:pos="720"/>
          <w:tab w:val="left" w:pos="11482" w:leader="none"/>
        </w:tabs>
        <w:rPr>
          <w:sz w:val="24"/>
        </w:rPr>
      </w:pPr>
      <w:r>
        <w:rPr>
          <w:sz w:val="24"/>
        </w:rPr>
        <w:t>Fostering industry wide collaboration</w:t>
      </w:r>
    </w:p>
    <w:p>
      <w:pPr>
        <w:pStyle w:val="Normal"/>
        <w:numPr>
          <w:ilvl w:val="0"/>
          <w:numId w:val="26"/>
        </w:numPr>
        <w:jc w:val="both"/>
        <w:rPr>
          <w:sz w:val="24"/>
        </w:rPr>
      </w:pPr>
      <w:r>
        <w:rPr>
          <w:sz w:val="24"/>
        </w:rPr>
        <w:t>Participating in development of standard industry terminology</w:t>
      </w:r>
    </w:p>
    <w:p>
      <w:pPr>
        <w:pStyle w:val="Heading8"/>
        <w:ind w:hanging="0" w:start="0"/>
        <w:rPr>
          <w:sz w:val="24"/>
        </w:rPr>
      </w:pPr>
      <w:r>
        <w:rPr>
          <w:sz w:val="24"/>
        </w:rPr>
        <w:t xml:space="preserve">Timing: Ongoing </w:t>
      </w:r>
    </w:p>
    <w:p>
      <w:pPr>
        <w:pStyle w:val="Normal"/>
        <w:jc w:val="both"/>
        <w:rPr>
          <w:sz w:val="24"/>
        </w:rPr>
      </w:pPr>
      <w:r>
        <w:rPr>
          <w:sz w:val="24"/>
        </w:rPr>
      </w:r>
    </w:p>
    <w:p>
      <w:pPr>
        <w:pStyle w:val="Normal"/>
        <w:tabs>
          <w:tab w:val="clear" w:pos="720"/>
          <w:tab w:val="left" w:pos="11482" w:leader="none"/>
        </w:tabs>
        <w:rPr>
          <w:sz w:val="24"/>
        </w:rPr>
      </w:pPr>
      <w:r>
        <w:rPr>
          <w:sz w:val="24"/>
        </w:rPr>
        <w:t xml:space="preserve">ISDA Operations Processing Benchmarking Survey: </w:t>
      </w:r>
    </w:p>
    <w:p>
      <w:pPr>
        <w:pStyle w:val="Normal"/>
        <w:numPr>
          <w:ilvl w:val="0"/>
          <w:numId w:val="13"/>
        </w:numPr>
        <w:tabs>
          <w:tab w:val="clear" w:pos="720"/>
          <w:tab w:val="left" w:pos="11482" w:leader="none"/>
        </w:tabs>
        <w:rPr>
          <w:sz w:val="24"/>
        </w:rPr>
      </w:pPr>
      <w:r>
        <w:rPr>
          <w:sz w:val="24"/>
        </w:rPr>
        <w:t xml:space="preserve">developing and participating in the first industry-wide operations environment survey </w:t>
      </w:r>
    </w:p>
    <w:p>
      <w:pPr>
        <w:pStyle w:val="Normal"/>
        <w:numPr>
          <w:ilvl w:val="0"/>
          <w:numId w:val="33"/>
        </w:numPr>
        <w:jc w:val="both"/>
        <w:rPr>
          <w:sz w:val="24"/>
        </w:rPr>
      </w:pPr>
      <w:r>
        <w:rPr>
          <w:sz w:val="24"/>
        </w:rPr>
        <w:t>considering producing an annual survey and implementing necessary revisions to subsequent scope and format</w:t>
      </w:r>
    </w:p>
    <w:p>
      <w:pPr>
        <w:pStyle w:val="Normal"/>
        <w:tabs>
          <w:tab w:val="clear" w:pos="720"/>
          <w:tab w:val="left" w:pos="11482" w:leader="none"/>
        </w:tabs>
        <w:rPr>
          <w:b/>
          <w:sz w:val="24"/>
          <w:u w:val="single"/>
        </w:rPr>
      </w:pPr>
      <w:r>
        <w:rPr>
          <w:b/>
          <w:sz w:val="24"/>
          <w:u w:val="single"/>
        </w:rPr>
        <w:t xml:space="preserve">Timing: Operations Benchmarking Survey, Publication Date: Summer 2000 </w:t>
      </w:r>
    </w:p>
    <w:p>
      <w:pPr>
        <w:pStyle w:val="Normal"/>
        <w:tabs>
          <w:tab w:val="clear" w:pos="720"/>
          <w:tab w:val="left" w:pos="11482" w:leader="none"/>
        </w:tabs>
        <w:rPr/>
      </w:pPr>
      <w:r>
        <w:rPr>
          <w:b/>
          <w:sz w:val="24"/>
        </w:rPr>
        <w:t xml:space="preserve">   </w:t>
      </w:r>
      <w:r>
        <w:rPr>
          <w:b/>
          <w:sz w:val="24"/>
          <w:u w:val="single"/>
        </w:rPr>
        <w:t>2001 Operations Benchmarking Survey Development, Fall 2000</w:t>
      </w:r>
    </w:p>
    <w:p>
      <w:pPr>
        <w:pStyle w:val="Normal"/>
        <w:tabs>
          <w:tab w:val="clear" w:pos="720"/>
          <w:tab w:val="left" w:pos="11482" w:leader="none"/>
        </w:tabs>
        <w:rPr>
          <w:b/>
          <w:sz w:val="24"/>
          <w:u w:val="single"/>
        </w:rPr>
      </w:pPr>
      <w:r>
        <w:rPr>
          <w:b/>
          <w:sz w:val="24"/>
          <w:u w:val="single"/>
        </w:rPr>
      </w:r>
    </w:p>
    <w:p>
      <w:pPr>
        <w:pStyle w:val="Normal"/>
        <w:tabs>
          <w:tab w:val="clear" w:pos="720"/>
          <w:tab w:val="left" w:pos="11482" w:leader="none"/>
        </w:tabs>
        <w:rPr>
          <w:sz w:val="24"/>
        </w:rPr>
      </w:pPr>
      <w:r>
        <w:rPr>
          <w:sz w:val="24"/>
        </w:rPr>
        <w:t>Development of standard 2000 Definitions Cash Settlement provisions for major currencies to facilitate the reduction of unsigned confirmation volumes</w:t>
      </w:r>
    </w:p>
    <w:p>
      <w:pPr>
        <w:pStyle w:val="Normal"/>
        <w:numPr>
          <w:ilvl w:val="0"/>
          <w:numId w:val="75"/>
        </w:numPr>
        <w:tabs>
          <w:tab w:val="clear" w:pos="720"/>
          <w:tab w:val="left" w:pos="11482" w:leader="none"/>
        </w:tabs>
        <w:rPr>
          <w:sz w:val="24"/>
        </w:rPr>
      </w:pPr>
      <w:r>
        <w:rPr>
          <w:sz w:val="24"/>
        </w:rPr>
        <w:t>evaluation from operations processing perspective (in tandem with the Market Practice Committee) focus on mutual puts and swaptions transactions</w:t>
      </w:r>
    </w:p>
    <w:p>
      <w:pPr>
        <w:pStyle w:val="Normal"/>
        <w:numPr>
          <w:ilvl w:val="0"/>
          <w:numId w:val="75"/>
        </w:numPr>
        <w:tabs>
          <w:tab w:val="clear" w:pos="720"/>
          <w:tab w:val="left" w:pos="11482" w:leader="none"/>
        </w:tabs>
        <w:rPr>
          <w:sz w:val="24"/>
        </w:rPr>
      </w:pPr>
      <w:r>
        <w:rPr>
          <w:sz w:val="24"/>
        </w:rPr>
        <w:t>2000 Definitions Workshop</w:t>
      </w:r>
    </w:p>
    <w:p>
      <w:pPr>
        <w:pStyle w:val="Header"/>
        <w:tabs>
          <w:tab w:val="clear" w:pos="4320"/>
          <w:tab w:val="clear" w:pos="8640"/>
          <w:tab w:val="left" w:pos="11482" w:leader="none"/>
        </w:tabs>
        <w:rPr>
          <w:b/>
          <w:sz w:val="24"/>
          <w:u w:val="single"/>
        </w:rPr>
      </w:pPr>
      <w:r>
        <w:rPr>
          <w:b/>
          <w:sz w:val="24"/>
          <w:u w:val="single"/>
        </w:rPr>
        <w:t>Timing: Agreement on bases for swaptions and mutual puts, Fall 2000</w:t>
      </w:r>
    </w:p>
    <w:p>
      <w:pPr>
        <w:pStyle w:val="Header"/>
        <w:tabs>
          <w:tab w:val="clear" w:pos="4320"/>
          <w:tab w:val="clear" w:pos="8640"/>
          <w:tab w:val="left" w:pos="11482" w:leader="none"/>
        </w:tabs>
        <w:rPr/>
      </w:pPr>
      <w:r>
        <w:rPr>
          <w:b/>
          <w:sz w:val="24"/>
        </w:rPr>
        <w:t xml:space="preserve"> </w:t>
      </w:r>
      <w:r>
        <w:rPr>
          <w:b/>
          <w:sz w:val="24"/>
          <w:u w:val="single"/>
        </w:rPr>
        <w:t>2000 Definitions Workshops, Fall 2000</w:t>
      </w:r>
      <w:r>
        <w:br w:type="page"/>
      </w:r>
    </w:p>
    <w:p>
      <w:pPr>
        <w:pStyle w:val="Header"/>
        <w:tabs>
          <w:tab w:val="clear" w:pos="4320"/>
          <w:tab w:val="clear" w:pos="8640"/>
          <w:tab w:val="left" w:pos="11482" w:leader="none"/>
        </w:tabs>
        <w:rPr>
          <w:b/>
          <w:sz w:val="24"/>
          <w:u w:val="single"/>
        </w:rPr>
      </w:pPr>
      <w:r>
        <w:rPr>
          <w:b/>
          <w:sz w:val="24"/>
          <w:u w:val="single"/>
        </w:rPr>
      </w:r>
    </w:p>
    <w:p>
      <w:pPr>
        <w:pStyle w:val="Normal"/>
        <w:pBdr>
          <w:bottom w:val="single" w:sz="12" w:space="0" w:color="000000"/>
        </w:pBdr>
        <w:rPr/>
      </w:pPr>
      <w:r>
        <w:rPr>
          <w:b/>
          <w:sz w:val="72"/>
        </w:rPr>
        <w:t>ISDA</w:t>
      </w:r>
      <w:r>
        <w:rPr>
          <w:b/>
          <w:sz w:val="24"/>
        </w:rPr>
        <w:t xml:space="preserve"> International Swaps and Derivatives Association, Inc.</w:t>
      </w:r>
    </w:p>
    <w:p>
      <w:pPr>
        <w:pStyle w:val="Header"/>
        <w:tabs>
          <w:tab w:val="clear" w:pos="4320"/>
          <w:tab w:val="clear" w:pos="8640"/>
          <w:tab w:val="left" w:pos="11482" w:leader="none"/>
        </w:tabs>
        <w:jc w:val="center"/>
        <w:rPr>
          <w:b/>
          <w:sz w:val="28"/>
          <w:u w:val="single"/>
        </w:rPr>
      </w:pPr>
      <w:r>
        <w:rPr>
          <w:b/>
          <w:sz w:val="28"/>
          <w:u w:val="single"/>
        </w:rPr>
      </w:r>
    </w:p>
    <w:p>
      <w:pPr>
        <w:pStyle w:val="Header"/>
        <w:tabs>
          <w:tab w:val="clear" w:pos="4320"/>
          <w:tab w:val="clear" w:pos="8640"/>
          <w:tab w:val="left" w:pos="11482" w:leader="none"/>
        </w:tabs>
        <w:jc w:val="center"/>
        <w:rPr>
          <w:b/>
          <w:sz w:val="28"/>
          <w:u w:val="single"/>
        </w:rPr>
      </w:pPr>
      <w:r>
        <w:rPr>
          <w:b/>
          <w:sz w:val="28"/>
          <w:u w:val="single"/>
        </w:rPr>
        <w:t>Latin America Committee</w:t>
      </w:r>
    </w:p>
    <w:p>
      <w:pPr>
        <w:pStyle w:val="Header"/>
        <w:tabs>
          <w:tab w:val="clear" w:pos="4320"/>
          <w:tab w:val="clear" w:pos="8640"/>
          <w:tab w:val="left" w:pos="11482" w:leader="none"/>
        </w:tabs>
        <w:jc w:val="center"/>
        <w:rPr>
          <w:sz w:val="24"/>
        </w:rPr>
      </w:pPr>
      <w:r>
        <w:rPr>
          <w:sz w:val="24"/>
        </w:rPr>
        <w:t>Chair: Jose Manuel Hernandez Beneyto, Banco Santander</w:t>
      </w:r>
    </w:p>
    <w:p>
      <w:pPr>
        <w:pStyle w:val="Header"/>
        <w:tabs>
          <w:tab w:val="clear" w:pos="4320"/>
          <w:tab w:val="clear" w:pos="8640"/>
          <w:tab w:val="left" w:pos="11482" w:leader="none"/>
        </w:tabs>
        <w:jc w:val="center"/>
        <w:rPr>
          <w:sz w:val="24"/>
        </w:rPr>
      </w:pPr>
      <w:r>
        <w:rPr>
          <w:sz w:val="24"/>
        </w:rPr>
      </w:r>
    </w:p>
    <w:p>
      <w:pPr>
        <w:pStyle w:val="Header"/>
        <w:tabs>
          <w:tab w:val="clear" w:pos="4320"/>
          <w:tab w:val="clear" w:pos="8640"/>
          <w:tab w:val="left" w:pos="11482" w:leader="none"/>
        </w:tabs>
        <w:rPr>
          <w:sz w:val="24"/>
          <w:lang w:val="en-US" w:eastAsia="en-US"/>
        </w:rPr>
      </w:pPr>
      <w:r>
        <w:rPr>
          <w:sz w:val="24"/>
          <w:lang w:val="en-US" w:eastAsia="en-US"/>
        </w:rPr>
        <w:t xml:space="preserve">The Latin America Committee addresses business and regulatory issues of importance to ISDA members in Latin America.  In light of recently enacted and pending legislation throughout the Latin America region, this initiative will be intensified and a new staff member will be responsible for the region.  The focus of the Latin America Committee initiative will be on working with country regulators and potential new members to introduce them to ISDA, its documentation and other activities through meetings and conferences. </w:t>
      </w:r>
    </w:p>
    <w:p>
      <w:pPr>
        <w:pStyle w:val="Header"/>
        <w:tabs>
          <w:tab w:val="clear" w:pos="4320"/>
          <w:tab w:val="clear" w:pos="8640"/>
          <w:tab w:val="left" w:pos="11482" w:leader="none"/>
        </w:tabs>
        <w:rPr>
          <w:sz w:val="24"/>
          <w:lang w:val="en-US" w:eastAsia="en-US"/>
        </w:rPr>
      </w:pPr>
      <w:r>
        <w:rPr>
          <w:sz w:val="24"/>
          <w:lang w:val="en-US" w:eastAsia="en-US"/>
        </w:rPr>
      </w:r>
    </w:p>
    <w:p>
      <w:pPr>
        <w:pStyle w:val="Header"/>
        <w:tabs>
          <w:tab w:val="clear" w:pos="4320"/>
          <w:tab w:val="clear" w:pos="8640"/>
          <w:tab w:val="left" w:pos="11482" w:leader="none"/>
        </w:tabs>
        <w:rPr>
          <w:b/>
          <w:sz w:val="24"/>
          <w:lang w:val="en-US" w:eastAsia="en-US"/>
        </w:rPr>
      </w:pPr>
      <w:r>
        <w:rPr>
          <w:b/>
          <w:sz w:val="24"/>
          <w:lang w:val="en-US" w:eastAsia="en-US"/>
        </w:rPr>
        <w:t>Current Activities</w:t>
      </w:r>
    </w:p>
    <w:p>
      <w:pPr>
        <w:pStyle w:val="Header"/>
        <w:tabs>
          <w:tab w:val="clear" w:pos="4320"/>
          <w:tab w:val="clear" w:pos="8640"/>
          <w:tab w:val="left" w:pos="11482" w:leader="none"/>
        </w:tabs>
        <w:rPr>
          <w:b/>
          <w:sz w:val="24"/>
          <w:lang w:val="en-US" w:eastAsia="en-US"/>
        </w:rPr>
      </w:pPr>
      <w:r>
        <w:rPr>
          <w:b/>
          <w:sz w:val="24"/>
          <w:lang w:val="en-US" w:eastAsia="en-US"/>
        </w:rPr>
      </w:r>
    </w:p>
    <w:p>
      <w:pPr>
        <w:pStyle w:val="Header"/>
        <w:tabs>
          <w:tab w:val="clear" w:pos="4320"/>
          <w:tab w:val="clear" w:pos="8640"/>
          <w:tab w:val="left" w:pos="11482" w:leader="none"/>
        </w:tabs>
        <w:rPr>
          <w:b/>
          <w:sz w:val="24"/>
          <w:lang w:val="en-US" w:eastAsia="en-US"/>
        </w:rPr>
      </w:pPr>
      <w:r>
        <w:rPr>
          <w:b/>
          <w:sz w:val="24"/>
          <w:lang w:val="en-US" w:eastAsia="en-US"/>
        </w:rPr>
        <w:t>Mexico</w:t>
      </w:r>
    </w:p>
    <w:p>
      <w:pPr>
        <w:pStyle w:val="Header"/>
        <w:numPr>
          <w:ilvl w:val="0"/>
          <w:numId w:val="23"/>
        </w:numPr>
        <w:tabs>
          <w:tab w:val="clear" w:pos="4320"/>
          <w:tab w:val="clear" w:pos="8640"/>
          <w:tab w:val="left" w:pos="1080" w:leader="none"/>
          <w:tab w:val="left" w:pos="11482" w:leader="none"/>
        </w:tabs>
        <w:ind w:hanging="360" w:start="1080" w:end="0"/>
        <w:rPr>
          <w:b/>
          <w:sz w:val="24"/>
          <w:u w:val="single"/>
        </w:rPr>
      </w:pPr>
      <w:r>
        <w:rPr>
          <w:sz w:val="24"/>
        </w:rPr>
        <w:t xml:space="preserve">Visit and participation in conference </w:t>
      </w:r>
      <w:r>
        <w:rPr>
          <w:b/>
          <w:sz w:val="24"/>
          <w:u w:val="single"/>
        </w:rPr>
        <w:t>Timing: November 2000</w:t>
      </w:r>
    </w:p>
    <w:p>
      <w:pPr>
        <w:pStyle w:val="Header"/>
        <w:tabs>
          <w:tab w:val="clear" w:pos="4320"/>
          <w:tab w:val="clear" w:pos="8640"/>
          <w:tab w:val="left" w:pos="11482" w:leader="none"/>
        </w:tabs>
        <w:ind w:start="720" w:end="0"/>
        <w:rPr>
          <w:b/>
          <w:sz w:val="24"/>
          <w:u w:val="single"/>
        </w:rPr>
      </w:pPr>
      <w:r>
        <w:rPr>
          <w:b/>
          <w:sz w:val="24"/>
          <w:u w:val="single"/>
        </w:rPr>
      </w:r>
    </w:p>
    <w:p>
      <w:pPr>
        <w:pStyle w:val="Header"/>
        <w:tabs>
          <w:tab w:val="clear" w:pos="4320"/>
          <w:tab w:val="clear" w:pos="8640"/>
          <w:tab w:val="left" w:pos="11482" w:leader="none"/>
        </w:tabs>
        <w:rPr>
          <w:b/>
          <w:sz w:val="24"/>
        </w:rPr>
      </w:pPr>
      <w:r>
        <w:rPr>
          <w:b/>
          <w:sz w:val="24"/>
        </w:rPr>
        <w:t>Other countries in Latin America</w:t>
      </w:r>
    </w:p>
    <w:p>
      <w:pPr>
        <w:pStyle w:val="Header"/>
        <w:numPr>
          <w:ilvl w:val="0"/>
          <w:numId w:val="55"/>
        </w:numPr>
        <w:tabs>
          <w:tab w:val="clear" w:pos="4320"/>
          <w:tab w:val="clear" w:pos="8640"/>
          <w:tab w:val="left" w:pos="1080" w:leader="none"/>
          <w:tab w:val="left" w:pos="11482" w:leader="none"/>
        </w:tabs>
        <w:ind w:hanging="360" w:start="1080" w:end="0"/>
        <w:rPr>
          <w:b/>
          <w:sz w:val="24"/>
          <w:u w:val="single"/>
        </w:rPr>
      </w:pPr>
      <w:r>
        <w:rPr>
          <w:sz w:val="24"/>
        </w:rPr>
        <w:t xml:space="preserve">Meetings with potential members and country regulators – especially in Argentina and Brazil.  </w:t>
      </w:r>
      <w:r>
        <w:rPr>
          <w:b/>
          <w:sz w:val="24"/>
          <w:u w:val="single"/>
        </w:rPr>
        <w:t>Timing: September 2000 - Ongoing</w:t>
      </w:r>
      <w:r>
        <w:br w:type="page"/>
      </w:r>
    </w:p>
    <w:p>
      <w:pPr>
        <w:pStyle w:val="Header"/>
        <w:tabs>
          <w:tab w:val="clear" w:pos="4320"/>
          <w:tab w:val="clear" w:pos="8640"/>
          <w:tab w:val="left" w:pos="11482" w:leader="none"/>
        </w:tabs>
        <w:rPr>
          <w:b/>
          <w:sz w:val="24"/>
          <w:u w:val="single"/>
        </w:rPr>
      </w:pPr>
      <w:r>
        <w:rPr>
          <w:b/>
          <w:sz w:val="24"/>
          <w:u w:val="single"/>
        </w:rPr>
      </w:r>
    </w:p>
    <w:p>
      <w:pPr>
        <w:pStyle w:val="Normal"/>
        <w:pBdr>
          <w:bottom w:val="single" w:sz="12" w:space="0" w:color="000000"/>
        </w:pBdr>
        <w:rPr/>
      </w:pPr>
      <w:r>
        <w:rPr>
          <w:b/>
          <w:sz w:val="72"/>
        </w:rPr>
        <w:t>ISDA</w:t>
      </w:r>
      <w:r>
        <w:rPr>
          <w:b/>
          <w:sz w:val="24"/>
        </w:rPr>
        <w:t xml:space="preserve"> International Swaps and Derivatives Association, Inc.</w:t>
      </w:r>
    </w:p>
    <w:p>
      <w:pPr>
        <w:pStyle w:val="Heading"/>
        <w:rPr>
          <w:b w:val="false"/>
          <w:sz w:val="24"/>
        </w:rPr>
      </w:pPr>
      <w:r>
        <w:rPr>
          <w:b w:val="false"/>
          <w:sz w:val="24"/>
        </w:rPr>
      </w:r>
    </w:p>
    <w:p>
      <w:pPr>
        <w:pStyle w:val="Heading"/>
        <w:rPr>
          <w:sz w:val="28"/>
        </w:rPr>
      </w:pPr>
      <w:r>
        <w:rPr>
          <w:sz w:val="28"/>
        </w:rPr>
        <w:t>Risk Management Committee</w:t>
      </w:r>
    </w:p>
    <w:p>
      <w:pPr>
        <w:pStyle w:val="Heading5"/>
        <w:ind w:hanging="0" w:start="0"/>
        <w:rPr/>
      </w:pPr>
      <w:r>
        <w:rPr/>
        <w:t>Chairs Kazuhiko Koshikawa, The Sanwa Bank, Limited</w:t>
      </w:r>
    </w:p>
    <w:p>
      <w:pPr>
        <w:pStyle w:val="Normal"/>
        <w:jc w:val="center"/>
        <w:rPr>
          <w:sz w:val="24"/>
        </w:rPr>
      </w:pPr>
      <w:r>
        <w:rPr>
          <w:sz w:val="24"/>
        </w:rPr>
        <w:t>Evan Picoult, Citibank</w:t>
      </w:r>
    </w:p>
    <w:p>
      <w:pPr>
        <w:pStyle w:val="Heading5"/>
        <w:ind w:hanging="0" w:start="0"/>
        <w:rPr/>
      </w:pPr>
      <w:r>
        <w:rPr/>
        <w:t xml:space="preserve">Teruo Tanaka, The Industrial Bank of Japan Limited </w:t>
      </w:r>
    </w:p>
    <w:p>
      <w:pPr>
        <w:pStyle w:val="Heading5"/>
        <w:ind w:hanging="0" w:start="0"/>
        <w:rPr/>
      </w:pPr>
      <w:r>
        <w:rPr/>
        <w:t>Mark Wallace, UBS Warburg</w:t>
      </w:r>
    </w:p>
    <w:p>
      <w:pPr>
        <w:pStyle w:val="Normal"/>
        <w:ind w:end="992"/>
        <w:rPr>
          <w:sz w:val="24"/>
        </w:rPr>
      </w:pPr>
      <w:r>
        <w:rPr>
          <w:sz w:val="24"/>
        </w:rPr>
      </w:r>
    </w:p>
    <w:p>
      <w:pPr>
        <w:pStyle w:val="Heading4"/>
        <w:jc w:val="both"/>
        <w:rPr>
          <w:sz w:val="24"/>
        </w:rPr>
      </w:pPr>
      <w:r>
        <w:rPr>
          <w:sz w:val="24"/>
        </w:rPr>
        <w:t>Overview</w:t>
      </w:r>
    </w:p>
    <w:p>
      <w:pPr>
        <w:pStyle w:val="BodyText"/>
        <w:rPr/>
      </w:pPr>
      <w:r>
        <w:rPr/>
        <w:t>This committee creates a forum to exchange ideas on various risk management models and techniques, as well as to address topical issues that challenge the industry.  Special task forces evaluate an respond to regulatory proposals on market and credit risk capital guidelines.</w:t>
      </w:r>
    </w:p>
    <w:p>
      <w:pPr>
        <w:pStyle w:val="Normal"/>
        <w:ind w:end="992"/>
        <w:jc w:val="both"/>
        <w:rPr>
          <w:b/>
          <w:sz w:val="24"/>
        </w:rPr>
      </w:pPr>
      <w:r>
        <w:rPr>
          <w:b/>
          <w:sz w:val="24"/>
        </w:rPr>
      </w:r>
    </w:p>
    <w:p>
      <w:pPr>
        <w:pStyle w:val="Normal"/>
        <w:ind w:end="992"/>
        <w:jc w:val="both"/>
        <w:rPr>
          <w:b/>
          <w:sz w:val="24"/>
          <w:u w:val="single"/>
        </w:rPr>
      </w:pPr>
      <w:r>
        <w:rPr>
          <w:b/>
          <w:sz w:val="24"/>
          <w:u w:val="single"/>
        </w:rPr>
        <w:t>Europe</w:t>
      </w:r>
    </w:p>
    <w:p>
      <w:pPr>
        <w:pStyle w:val="Normal"/>
        <w:ind w:end="992"/>
        <w:jc w:val="both"/>
        <w:rPr>
          <w:b/>
          <w:sz w:val="24"/>
          <w:u w:val="single"/>
        </w:rPr>
      </w:pPr>
      <w:r>
        <w:rPr>
          <w:b/>
          <w:sz w:val="24"/>
          <w:u w:val="single"/>
        </w:rPr>
      </w:r>
    </w:p>
    <w:p>
      <w:pPr>
        <w:pStyle w:val="Normal"/>
        <w:ind w:end="992"/>
        <w:jc w:val="both"/>
        <w:rPr>
          <w:b/>
          <w:sz w:val="24"/>
        </w:rPr>
      </w:pPr>
      <w:r>
        <w:rPr>
          <w:b/>
          <w:sz w:val="24"/>
        </w:rPr>
        <w:t>Capital Accord Reform Steering Group</w:t>
      </w:r>
    </w:p>
    <w:p>
      <w:pPr>
        <w:pStyle w:val="BodyText"/>
        <w:numPr>
          <w:ilvl w:val="0"/>
          <w:numId w:val="40"/>
        </w:numPr>
        <w:rPr>
          <w:sz w:val="24"/>
        </w:rPr>
      </w:pPr>
      <w:r>
        <w:rPr>
          <w:sz w:val="24"/>
        </w:rPr>
        <w:t>The Basel Committee issued a consultative paper on the reform of the Capital Accord on 3 June 1999.  ISDA prepared a response, released in February 2000.  This document contains key recommendations on:</w:t>
      </w:r>
    </w:p>
    <w:p>
      <w:pPr>
        <w:pStyle w:val="Normal"/>
        <w:numPr>
          <w:ilvl w:val="0"/>
          <w:numId w:val="56"/>
        </w:numPr>
        <w:ind w:hanging="360" w:start="720" w:end="0"/>
        <w:rPr>
          <w:sz w:val="24"/>
        </w:rPr>
      </w:pPr>
      <w:r>
        <w:rPr>
          <w:sz w:val="24"/>
        </w:rPr>
        <w:t>credit risk - where the Association proposes an index matrix of credit risk capital requirements and defines a risk-sensitive approach to credit risk mitigation.</w:t>
      </w:r>
    </w:p>
    <w:p>
      <w:pPr>
        <w:pStyle w:val="Normal"/>
        <w:numPr>
          <w:ilvl w:val="0"/>
          <w:numId w:val="45"/>
        </w:numPr>
        <w:ind w:hanging="360" w:start="720" w:end="0"/>
        <w:rPr>
          <w:sz w:val="24"/>
        </w:rPr>
      </w:pPr>
      <w:r>
        <w:rPr>
          <w:sz w:val="24"/>
        </w:rPr>
        <w:t>operational risk</w:t>
      </w:r>
      <w:r>
        <w:rPr>
          <w:b/>
          <w:sz w:val="24"/>
        </w:rPr>
        <w:t xml:space="preserve">  - </w:t>
      </w:r>
      <w:r>
        <w:rPr>
          <w:sz w:val="24"/>
        </w:rPr>
        <w:t xml:space="preserve">ISDA responded in  February 2000 to the Basel consultation paper on the new capital adequacy framework dated June 99. </w:t>
      </w:r>
    </w:p>
    <w:p>
      <w:pPr>
        <w:pStyle w:val="BodyText2"/>
        <w:numPr>
          <w:ilvl w:val="0"/>
          <w:numId w:val="28"/>
        </w:numPr>
        <w:rPr>
          <w:sz w:val="24"/>
        </w:rPr>
      </w:pPr>
      <w:r>
        <w:rPr>
          <w:sz w:val="24"/>
        </w:rPr>
        <w:t>The EU Commission services issued a consultative document on the review of regulatory capital requirements for EU credit institutions and investment firms in November 1999.  This paralleled the Basel Committee’s consultation on the new capital adequacy framework.</w:t>
      </w:r>
    </w:p>
    <w:p>
      <w:pPr>
        <w:pStyle w:val="Normal"/>
        <w:ind w:start="360" w:end="0"/>
        <w:rPr>
          <w:sz w:val="24"/>
        </w:rPr>
      </w:pPr>
      <w:r>
        <w:rPr>
          <w:sz w:val="24"/>
        </w:rPr>
        <w:t xml:space="preserve">ISDA responded in a letter to the Commission dated March 2000.  Two main issues are explored: </w:t>
      </w:r>
    </w:p>
    <w:p>
      <w:pPr>
        <w:pStyle w:val="Normal"/>
        <w:numPr>
          <w:ilvl w:val="0"/>
          <w:numId w:val="53"/>
        </w:numPr>
        <w:ind w:hanging="360" w:start="1440" w:end="0"/>
        <w:rPr>
          <w:sz w:val="24"/>
        </w:rPr>
      </w:pPr>
      <w:r>
        <w:rPr>
          <w:sz w:val="24"/>
        </w:rPr>
        <w:t xml:space="preserve">The treatment of small versus large credit institutions and </w:t>
      </w:r>
    </w:p>
    <w:p>
      <w:pPr>
        <w:pStyle w:val="Normal"/>
        <w:numPr>
          <w:ilvl w:val="0"/>
          <w:numId w:val="53"/>
        </w:numPr>
        <w:ind w:hanging="360" w:start="1440" w:end="0"/>
        <w:rPr>
          <w:sz w:val="24"/>
        </w:rPr>
      </w:pPr>
      <w:r>
        <w:rPr>
          <w:sz w:val="24"/>
        </w:rPr>
        <w:t>The appropriateness of mandatory horizontal consolidation for EU financial firms</w:t>
      </w:r>
    </w:p>
    <w:p>
      <w:pPr>
        <w:pStyle w:val="Normal"/>
        <w:ind w:start="1080" w:end="0"/>
        <w:rPr>
          <w:sz w:val="24"/>
        </w:rPr>
      </w:pPr>
      <w:r>
        <w:rPr>
          <w:sz w:val="24"/>
        </w:rPr>
        <w:t xml:space="preserve">      </w:t>
      </w:r>
      <w:r>
        <w:rPr>
          <w:sz w:val="24"/>
        </w:rPr>
        <w:t>whose parent is a non-EU company.</w:t>
      </w:r>
    </w:p>
    <w:p>
      <w:pPr>
        <w:pStyle w:val="Normal"/>
        <w:tabs>
          <w:tab w:val="clear" w:pos="720"/>
          <w:tab w:val="left" w:pos="3284" w:leader="none"/>
          <w:tab w:val="left" w:pos="6568" w:leader="none"/>
          <w:tab w:val="left" w:pos="9852" w:leader="none"/>
        </w:tabs>
        <w:rPr>
          <w:b/>
          <w:sz w:val="24"/>
        </w:rPr>
      </w:pPr>
      <w:r>
        <w:rPr>
          <w:b/>
          <w:sz w:val="24"/>
        </w:rPr>
      </w:r>
    </w:p>
    <w:p>
      <w:pPr>
        <w:pStyle w:val="Normal"/>
        <w:tabs>
          <w:tab w:val="clear" w:pos="720"/>
          <w:tab w:val="left" w:pos="3284" w:leader="none"/>
          <w:tab w:val="left" w:pos="6568" w:leader="none"/>
          <w:tab w:val="left" w:pos="9852" w:leader="none"/>
        </w:tabs>
        <w:rPr>
          <w:b/>
          <w:sz w:val="24"/>
        </w:rPr>
      </w:pPr>
      <w:r>
        <w:rPr>
          <w:b/>
          <w:sz w:val="24"/>
        </w:rPr>
        <w:t>Capital Treatment of Credit Derivatives</w:t>
      </w:r>
    </w:p>
    <w:p>
      <w:pPr>
        <w:pStyle w:val="Normal"/>
        <w:numPr>
          <w:ilvl w:val="0"/>
          <w:numId w:val="42"/>
        </w:numPr>
        <w:rPr>
          <w:sz w:val="24"/>
        </w:rPr>
      </w:pPr>
      <w:r>
        <w:rPr>
          <w:sz w:val="24"/>
        </w:rPr>
        <w:t>The UK Financial Services Authority is bringing into one single document the credit derivatives policies previously issued by the Bank of England and the Securities and Futures Authority.  ISDA, jointly with the BBA (British Bankers Association) and LIBA (London Investment Banking Association), is seizing this opportunity to request an upgrading of the rules, in particular with respect to the capital treatment of step-up/calls.</w:t>
      </w:r>
    </w:p>
    <w:p>
      <w:pPr>
        <w:pStyle w:val="BodyText"/>
        <w:numPr>
          <w:ilvl w:val="0"/>
          <w:numId w:val="24"/>
        </w:numPr>
        <w:rPr>
          <w:sz w:val="24"/>
          <w:lang w:val="en-US"/>
        </w:rPr>
      </w:pPr>
      <w:r>
        <w:rPr>
          <w:sz w:val="24"/>
        </w:rPr>
        <w:t>In Ireland, t</w:t>
      </w:r>
      <w:r>
        <w:rPr>
          <w:sz w:val="24"/>
          <w:lang w:val="en-US"/>
        </w:rPr>
        <w:t>he Central Bank of Ireland released draft rules for comment in December 1999.</w:t>
      </w:r>
    </w:p>
    <w:p>
      <w:pPr>
        <w:pStyle w:val="Normal"/>
        <w:tabs>
          <w:tab w:val="clear" w:pos="720"/>
          <w:tab w:val="left" w:pos="3284" w:leader="none"/>
          <w:tab w:val="left" w:pos="6568" w:leader="none"/>
          <w:tab w:val="left" w:pos="9852" w:leader="none"/>
        </w:tabs>
        <w:rPr>
          <w:sz w:val="24"/>
        </w:rPr>
      </w:pPr>
      <w:r>
        <w:rPr>
          <w:sz w:val="24"/>
        </w:rPr>
        <w:t>ISDA responded February 2000.</w:t>
      </w:r>
      <w:r>
        <w:rPr>
          <w:sz w:val="24"/>
          <w:lang w:val="en-US"/>
        </w:rPr>
        <w:tab/>
      </w:r>
    </w:p>
    <w:p>
      <w:pPr>
        <w:pStyle w:val="Normal"/>
        <w:ind w:end="992"/>
        <w:jc w:val="both"/>
        <w:rPr>
          <w:sz w:val="24"/>
        </w:rPr>
      </w:pPr>
      <w:r>
        <w:rPr>
          <w:sz w:val="24"/>
        </w:rPr>
      </w:r>
      <w:r>
        <w:br w:type="page"/>
      </w:r>
    </w:p>
    <w:p>
      <w:pPr>
        <w:pStyle w:val="Normal"/>
        <w:ind w:end="992"/>
        <w:jc w:val="both"/>
        <w:rPr>
          <w:sz w:val="24"/>
        </w:rPr>
      </w:pPr>
      <w:r>
        <w:rPr>
          <w:sz w:val="24"/>
        </w:rPr>
      </w:r>
    </w:p>
    <w:p>
      <w:pPr>
        <w:pStyle w:val="Normal"/>
        <w:ind w:end="992"/>
        <w:jc w:val="both"/>
        <w:rPr>
          <w:b/>
          <w:sz w:val="24"/>
          <w:u w:val="single"/>
        </w:rPr>
      </w:pPr>
      <w:r>
        <w:rPr>
          <w:b/>
          <w:sz w:val="24"/>
          <w:u w:val="single"/>
        </w:rPr>
        <w:t>North America</w:t>
      </w:r>
    </w:p>
    <w:p>
      <w:pPr>
        <w:pStyle w:val="BodyText3"/>
        <w:rPr>
          <w:b/>
          <w:sz w:val="24"/>
          <w:u w:val="single"/>
        </w:rPr>
      </w:pPr>
      <w:r>
        <w:rPr>
          <w:b/>
          <w:sz w:val="24"/>
          <w:u w:val="single"/>
        </w:rPr>
      </w:r>
    </w:p>
    <w:p>
      <w:pPr>
        <w:pStyle w:val="BodyText3"/>
        <w:rPr/>
      </w:pPr>
      <w:r>
        <w:rPr/>
        <w:t>On the U.S. side, this committee has organised monthly Risk Management Luncheons in New York.  These seminars invite a leading practitioner in the field of Risk Management to speak to ISDA members on specific topics.  These lunches are well attended and recent topics have included "Integrating Market and Credit Risk – Why Is It So Hard?" and "Internal Ratings".  The committee will continue to organise these lunches in the future.</w:t>
      </w:r>
    </w:p>
    <w:p>
      <w:pPr>
        <w:pStyle w:val="Normal"/>
        <w:jc w:val="both"/>
        <w:rPr>
          <w:sz w:val="24"/>
        </w:rPr>
      </w:pPr>
      <w:r>
        <w:rPr>
          <w:sz w:val="24"/>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Heading"/>
        <w:rPr>
          <w:b w:val="false"/>
          <w:sz w:val="24"/>
        </w:rPr>
      </w:pPr>
      <w:r>
        <w:rPr>
          <w:b w:val="false"/>
          <w:sz w:val="24"/>
        </w:rPr>
      </w:r>
    </w:p>
    <w:p>
      <w:pPr>
        <w:pStyle w:val="Heading"/>
        <w:rPr>
          <w:sz w:val="28"/>
        </w:rPr>
      </w:pPr>
      <w:r>
        <w:rPr>
          <w:sz w:val="28"/>
        </w:rPr>
        <w:t>ISDA South East Asia Committee</w:t>
      </w:r>
    </w:p>
    <w:p>
      <w:pPr>
        <w:pStyle w:val="Heading5"/>
        <w:ind w:hanging="0" w:start="0"/>
        <w:rPr/>
      </w:pPr>
      <w:r>
        <w:rPr/>
        <w:t>Hong Kong Chair: Azam Mistry, HSBC</w:t>
      </w:r>
    </w:p>
    <w:p>
      <w:pPr>
        <w:pStyle w:val="Normal"/>
        <w:jc w:val="center"/>
        <w:rPr>
          <w:sz w:val="24"/>
        </w:rPr>
      </w:pPr>
      <w:r>
        <w:rPr>
          <w:sz w:val="24"/>
        </w:rPr>
        <w:t>Singapore Chair: Vacant</w:t>
      </w:r>
    </w:p>
    <w:p>
      <w:pPr>
        <w:pStyle w:val="Normal"/>
        <w:ind w:end="992"/>
        <w:rPr>
          <w:sz w:val="24"/>
        </w:rPr>
      </w:pPr>
      <w:r>
        <w:rPr>
          <w:sz w:val="24"/>
        </w:rPr>
      </w:r>
    </w:p>
    <w:p>
      <w:pPr>
        <w:pStyle w:val="Heading4"/>
        <w:jc w:val="both"/>
        <w:rPr>
          <w:sz w:val="24"/>
        </w:rPr>
      </w:pPr>
      <w:r>
        <w:rPr>
          <w:sz w:val="24"/>
        </w:rPr>
        <w:t>Overview</w:t>
      </w:r>
    </w:p>
    <w:p>
      <w:pPr>
        <w:pStyle w:val="Normal"/>
        <w:ind w:end="992"/>
        <w:jc w:val="both"/>
        <w:rPr>
          <w:sz w:val="24"/>
        </w:rPr>
      </w:pPr>
      <w:r>
        <w:rPr>
          <w:sz w:val="24"/>
        </w:rPr>
      </w:r>
    </w:p>
    <w:p>
      <w:pPr>
        <w:pStyle w:val="Normal"/>
        <w:jc w:val="both"/>
        <w:rPr>
          <w:sz w:val="24"/>
        </w:rPr>
      </w:pPr>
      <w:r>
        <w:rPr>
          <w:sz w:val="24"/>
        </w:rPr>
        <w:t>Since it was established in the mid-1990’s, the Committee has operated as two groups, one based in Singapore and the other in Hong Kong.  The Committee is comprised of derivatives industry business leaders in the region and is chaired in Hong Kong by Azam Mistry of HSBC and in Singapore by Paul Wilkinson of UBS Warburg (who will be leaving Singapore shortly).  A legal and regulatory sub-committee operates under the aegis of the full committee.  It too has two legs, a Hong Kong leg chaired by Tricia Bowden of Citibank and a Singapore leg chaired by Jeremy Walsh of Standard Chartered.  A looser group of collateral professionals has also worked with ISDA in the region.</w:t>
      </w:r>
    </w:p>
    <w:p>
      <w:pPr>
        <w:pStyle w:val="Normal"/>
        <w:jc w:val="both"/>
        <w:rPr>
          <w:sz w:val="24"/>
        </w:rPr>
      </w:pPr>
      <w:r>
        <w:rPr>
          <w:sz w:val="24"/>
        </w:rPr>
      </w:r>
    </w:p>
    <w:p>
      <w:pPr>
        <w:pStyle w:val="Normal"/>
        <w:jc w:val="both"/>
        <w:rPr>
          <w:sz w:val="24"/>
        </w:rPr>
      </w:pPr>
      <w:r>
        <w:rPr>
          <w:sz w:val="24"/>
        </w:rPr>
        <w:t>Much of the work of the Committee to date has focused on regulatory and legal matters, including GITIC in China, Malaysian currency controls, the Indonesian unscheduled bank holidays in 1998, the imposition of currency controls in Malaysia in 1998, the promulgation of new derivatives rules in Singapore, Malaysia and Thailand and pending discussions in Taiwan relating to equity derivatives.</w:t>
      </w:r>
    </w:p>
    <w:p>
      <w:pPr>
        <w:pStyle w:val="Normal"/>
        <w:jc w:val="both"/>
        <w:rPr>
          <w:sz w:val="24"/>
        </w:rPr>
      </w:pPr>
      <w:r>
        <w:rPr>
          <w:sz w:val="24"/>
        </w:rPr>
      </w:r>
    </w:p>
    <w:p>
      <w:pPr>
        <w:pStyle w:val="Normal"/>
        <w:ind w:end="992"/>
        <w:jc w:val="both"/>
        <w:rPr>
          <w:b/>
          <w:sz w:val="24"/>
        </w:rPr>
      </w:pPr>
      <w:r>
        <w:rPr>
          <w:b/>
          <w:sz w:val="24"/>
        </w:rPr>
        <w:t>Current Activities</w:t>
      </w:r>
    </w:p>
    <w:p>
      <w:pPr>
        <w:pStyle w:val="Normal"/>
        <w:jc w:val="both"/>
        <w:rPr>
          <w:sz w:val="24"/>
        </w:rPr>
      </w:pPr>
      <w:r>
        <w:rPr>
          <w:sz w:val="24"/>
        </w:rPr>
        <w:t>With the opening of ISDA’s office in Singapore in October 2000, the committee’s activities will be able to expand.  Goals for the upcoming year include the following:</w:t>
      </w:r>
    </w:p>
    <w:p>
      <w:pPr>
        <w:pStyle w:val="Normal"/>
        <w:jc w:val="both"/>
        <w:rPr>
          <w:sz w:val="24"/>
        </w:rPr>
      </w:pPr>
      <w:r>
        <w:rPr>
          <w:sz w:val="24"/>
        </w:rPr>
      </w:r>
    </w:p>
    <w:p>
      <w:pPr>
        <w:pStyle w:val="Normal"/>
        <w:numPr>
          <w:ilvl w:val="0"/>
          <w:numId w:val="29"/>
        </w:numPr>
        <w:jc w:val="both"/>
        <w:rPr>
          <w:sz w:val="24"/>
        </w:rPr>
      </w:pPr>
      <w:r>
        <w:rPr>
          <w:sz w:val="24"/>
        </w:rPr>
        <w:t>Gaining greater participation from newly recruited local members of ISDA and local representatives of global ISDA members.</w:t>
      </w:r>
    </w:p>
    <w:p>
      <w:pPr>
        <w:pStyle w:val="Normal"/>
        <w:jc w:val="both"/>
        <w:rPr>
          <w:sz w:val="24"/>
        </w:rPr>
      </w:pPr>
      <w:r>
        <w:rPr>
          <w:sz w:val="24"/>
        </w:rPr>
      </w:r>
    </w:p>
    <w:p>
      <w:pPr>
        <w:pStyle w:val="Normal"/>
        <w:numPr>
          <w:ilvl w:val="0"/>
          <w:numId w:val="29"/>
        </w:numPr>
        <w:jc w:val="both"/>
        <w:rPr>
          <w:sz w:val="24"/>
        </w:rPr>
      </w:pPr>
      <w:r>
        <w:rPr>
          <w:sz w:val="24"/>
        </w:rPr>
        <w:t>Expansion of ISDA’s regulatory activities in the region, including in India, Korea and Australia.</w:t>
      </w:r>
    </w:p>
    <w:p>
      <w:pPr>
        <w:pStyle w:val="Normal"/>
        <w:jc w:val="both"/>
        <w:rPr>
          <w:sz w:val="24"/>
        </w:rPr>
      </w:pPr>
      <w:r>
        <w:rPr>
          <w:sz w:val="24"/>
        </w:rPr>
      </w:r>
    </w:p>
    <w:p>
      <w:pPr>
        <w:pStyle w:val="Normal"/>
        <w:numPr>
          <w:ilvl w:val="0"/>
          <w:numId w:val="29"/>
        </w:numPr>
        <w:jc w:val="both"/>
        <w:rPr>
          <w:sz w:val="24"/>
        </w:rPr>
      </w:pPr>
      <w:r>
        <w:rPr>
          <w:sz w:val="24"/>
        </w:rPr>
        <w:t>Development of additional functional sub-committees focusing on risk management, collateral and operations.</w:t>
      </w:r>
    </w:p>
    <w:p>
      <w:pPr>
        <w:pStyle w:val="Normal"/>
        <w:jc w:val="both"/>
        <w:rPr>
          <w:sz w:val="24"/>
        </w:rPr>
      </w:pPr>
      <w:r>
        <w:rPr>
          <w:sz w:val="24"/>
        </w:rPr>
      </w:r>
    </w:p>
    <w:p>
      <w:pPr>
        <w:pStyle w:val="Normal"/>
        <w:numPr>
          <w:ilvl w:val="0"/>
          <w:numId w:val="29"/>
        </w:numPr>
        <w:jc w:val="both"/>
        <w:rPr>
          <w:sz w:val="24"/>
        </w:rPr>
      </w:pPr>
      <w:r>
        <w:rPr>
          <w:sz w:val="24"/>
        </w:rPr>
        <w:t>Expansion of ISDA’s training conference program in the region using the staff resources of the Tokyo and Singapore offices.</w:t>
      </w:r>
    </w:p>
    <w:p>
      <w:pPr>
        <w:pStyle w:val="Normal"/>
        <w:jc w:val="both"/>
        <w:rPr>
          <w:sz w:val="24"/>
        </w:rPr>
      </w:pPr>
      <w:r>
        <w:rPr>
          <w:sz w:val="24"/>
        </w:rPr>
      </w:r>
    </w:p>
    <w:p>
      <w:pPr>
        <w:pStyle w:val="Normal"/>
        <w:numPr>
          <w:ilvl w:val="0"/>
          <w:numId w:val="29"/>
        </w:numPr>
        <w:jc w:val="both"/>
        <w:rPr>
          <w:sz w:val="24"/>
        </w:rPr>
      </w:pPr>
      <w:r>
        <w:rPr>
          <w:sz w:val="24"/>
        </w:rPr>
        <w:t>Hosting another regional regulators’ forum similar to the ones held in 1999 in Kuala Lumpur and Singapore.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Heading"/>
        <w:rPr>
          <w:b w:val="false"/>
          <w:sz w:val="24"/>
        </w:rPr>
      </w:pPr>
      <w:r>
        <w:rPr>
          <w:b w:val="false"/>
          <w:sz w:val="24"/>
        </w:rPr>
      </w:r>
    </w:p>
    <w:p>
      <w:pPr>
        <w:pStyle w:val="Heading"/>
        <w:rPr>
          <w:sz w:val="28"/>
        </w:rPr>
      </w:pPr>
      <w:r>
        <w:rPr>
          <w:sz w:val="28"/>
        </w:rPr>
        <w:t>Tax Committee</w:t>
      </w:r>
    </w:p>
    <w:p>
      <w:pPr>
        <w:pStyle w:val="Heading5"/>
        <w:ind w:hanging="0" w:start="0"/>
        <w:rPr/>
      </w:pPr>
      <w:r>
        <w:rPr/>
        <w:t>Chairs: Geoffrey Pennells, Salomon Smith Barney</w:t>
      </w:r>
    </w:p>
    <w:p>
      <w:pPr>
        <w:pStyle w:val="Heading5"/>
        <w:ind w:hanging="0" w:start="0"/>
        <w:rPr/>
      </w:pPr>
      <w:r>
        <w:rPr/>
        <w:t>Mark Perwien, Salomon Smith Barney</w:t>
      </w:r>
    </w:p>
    <w:p>
      <w:pPr>
        <w:pStyle w:val="Normal"/>
        <w:ind w:end="992"/>
        <w:rPr>
          <w:sz w:val="24"/>
        </w:rPr>
      </w:pPr>
      <w:r>
        <w:rPr>
          <w:sz w:val="24"/>
        </w:rPr>
      </w:r>
    </w:p>
    <w:p>
      <w:pPr>
        <w:pStyle w:val="Heading4"/>
        <w:jc w:val="both"/>
        <w:rPr>
          <w:sz w:val="24"/>
        </w:rPr>
      </w:pPr>
      <w:r>
        <w:rPr>
          <w:sz w:val="24"/>
        </w:rPr>
        <w:t>Overview</w:t>
      </w:r>
    </w:p>
    <w:p>
      <w:pPr>
        <w:pStyle w:val="Normal"/>
        <w:ind w:end="992"/>
        <w:jc w:val="both"/>
        <w:rPr>
          <w:sz w:val="24"/>
        </w:rPr>
      </w:pPr>
      <w:r>
        <w:rPr>
          <w:sz w:val="24"/>
        </w:rPr>
      </w:r>
    </w:p>
    <w:p>
      <w:pPr>
        <w:pStyle w:val="Normal"/>
        <w:jc w:val="both"/>
        <w:rPr>
          <w:sz w:val="24"/>
        </w:rPr>
      </w:pPr>
      <w:r>
        <w:rPr>
          <w:sz w:val="24"/>
        </w:rPr>
        <w:t xml:space="preserve">The tax committee is focusing on four key issues this year that will effect businesses is the U.S.  They include proposed changes to Straddle rules, proposed revisions in the Tax Shelter laws of the IRS, Mark-to-market (which the committee has been active on for some time), and Disclosure. The Committee has recently sent a letter to Senate Finance Committee, the House Ways and Means Committee the Treasury Department on Proposed Changes to Straddle Rules  and a letter to the Senate Finance Committee and the House Ways and Means Committee on Mark-to-market. The Committee also intends to distribute a memo summarizing changes to U.S. disclosure requirements in </w:t>
      </w:r>
      <w:r>
        <w:rPr>
          <w:b/>
          <w:sz w:val="24"/>
          <w:u w:val="single"/>
        </w:rPr>
        <w:t>August 2000</w:t>
      </w:r>
      <w:r>
        <w:rPr>
          <w:b/>
          <w:sz w:val="24"/>
        </w:rPr>
        <w:t>.</w:t>
      </w:r>
    </w:p>
    <w:p>
      <w:pPr>
        <w:pStyle w:val="BlockText"/>
        <w:tabs>
          <w:tab w:val="clear" w:pos="720"/>
          <w:tab w:val="left" w:pos="7797" w:leader="none"/>
        </w:tabs>
        <w:ind w:start="0" w:end="85"/>
        <w:rPr>
          <w:sz w:val="24"/>
        </w:rPr>
      </w:pPr>
      <w:r>
        <w:rPr>
          <w:sz w:val="24"/>
        </w:rPr>
      </w:r>
    </w:p>
    <w:p>
      <w:pPr>
        <w:pStyle w:val="BlockText"/>
        <w:tabs>
          <w:tab w:val="clear" w:pos="720"/>
          <w:tab w:val="left" w:pos="7797" w:leader="none"/>
        </w:tabs>
        <w:ind w:start="0" w:end="85"/>
        <w:rPr/>
      </w:pPr>
      <w:r>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Heading"/>
        <w:rPr>
          <w:b w:val="false"/>
          <w:sz w:val="24"/>
        </w:rPr>
      </w:pPr>
      <w:r>
        <w:rPr>
          <w:b w:val="false"/>
          <w:sz w:val="24"/>
        </w:rPr>
      </w:r>
    </w:p>
    <w:p>
      <w:pPr>
        <w:pStyle w:val="Normal"/>
        <w:jc w:val="center"/>
        <w:rPr>
          <w:b/>
          <w:sz w:val="28"/>
          <w:u w:val="single"/>
        </w:rPr>
      </w:pPr>
      <w:r>
        <w:rPr>
          <w:b/>
          <w:sz w:val="28"/>
          <w:u w:val="single"/>
        </w:rPr>
        <w:t>Trading Practice Committee:</w:t>
      </w:r>
    </w:p>
    <w:p>
      <w:pPr>
        <w:pStyle w:val="Heading5"/>
        <w:ind w:hanging="0" w:start="0"/>
        <w:rPr/>
      </w:pPr>
      <w:r>
        <w:rPr/>
        <w:t>Chair: Jonathan Moulds, Bank of America</w:t>
      </w:r>
    </w:p>
    <w:p>
      <w:pPr>
        <w:pStyle w:val="Normal"/>
        <w:ind w:end="992"/>
        <w:rPr>
          <w:sz w:val="24"/>
        </w:rPr>
      </w:pPr>
      <w:r>
        <w:rPr>
          <w:sz w:val="24"/>
        </w:rPr>
      </w:r>
    </w:p>
    <w:p>
      <w:pPr>
        <w:pStyle w:val="Heading4"/>
        <w:jc w:val="both"/>
        <w:rPr>
          <w:sz w:val="24"/>
        </w:rPr>
      </w:pPr>
      <w:r>
        <w:rPr>
          <w:sz w:val="24"/>
        </w:rPr>
        <w:t>Overview</w:t>
      </w:r>
    </w:p>
    <w:p>
      <w:pPr>
        <w:pStyle w:val="Normal"/>
        <w:ind w:end="992"/>
        <w:jc w:val="both"/>
        <w:rPr>
          <w:sz w:val="24"/>
        </w:rPr>
      </w:pPr>
      <w:r>
        <w:rPr>
          <w:sz w:val="24"/>
        </w:rPr>
      </w:r>
    </w:p>
    <w:p>
      <w:pPr>
        <w:pStyle w:val="BodyText3"/>
        <w:rPr/>
      </w:pPr>
      <w:r>
        <w:rPr/>
        <w:t>The Market Practice Committee has been renamed the Trading Practice Committee, more accurately to reflect its role in relation to other ISDA activities and committees (e.g.: Operations, Collateral, Accounting, etc). The committee is a forum in which to address issues affecting the business and practice of derivatives trading, with a view to reaching consensus and convention on the most efficient, effective and appropriate means of conducting OTC transactions.</w:t>
      </w:r>
    </w:p>
    <w:p>
      <w:pPr>
        <w:pStyle w:val="Normal"/>
        <w:jc w:val="both"/>
        <w:rPr>
          <w:sz w:val="24"/>
        </w:rPr>
      </w:pPr>
      <w:r>
        <w:rPr>
          <w:sz w:val="24"/>
        </w:rPr>
      </w:r>
    </w:p>
    <w:p>
      <w:pPr>
        <w:pStyle w:val="Normal"/>
        <w:jc w:val="both"/>
        <w:rPr>
          <w:sz w:val="24"/>
        </w:rPr>
      </w:pPr>
      <w:r>
        <w:rPr>
          <w:sz w:val="24"/>
        </w:rPr>
        <w:t>The role of the Trading Practice Committee is to review trading standards and practices, and to act as an advisory resource to other committees on the direction and status of specific issues involving the industry. Associate groups are the Market Survey and ISDAFIX (see below).</w:t>
      </w:r>
    </w:p>
    <w:p>
      <w:pPr>
        <w:pStyle w:val="Normal"/>
        <w:jc w:val="both"/>
        <w:rPr>
          <w:sz w:val="24"/>
        </w:rPr>
      </w:pPr>
      <w:r>
        <w:rPr>
          <w:sz w:val="24"/>
        </w:rPr>
      </w:r>
    </w:p>
    <w:p>
      <w:pPr>
        <w:pStyle w:val="Normal"/>
        <w:ind w:end="992"/>
        <w:jc w:val="both"/>
        <w:rPr>
          <w:b/>
          <w:sz w:val="24"/>
        </w:rPr>
      </w:pPr>
      <w:r>
        <w:rPr>
          <w:b/>
          <w:sz w:val="24"/>
        </w:rPr>
        <w:t>Current Activities</w:t>
      </w:r>
    </w:p>
    <w:p>
      <w:pPr>
        <w:pStyle w:val="Normal"/>
        <w:jc w:val="both"/>
        <w:rPr>
          <w:b/>
          <w:sz w:val="24"/>
        </w:rPr>
      </w:pPr>
      <w:r>
        <w:rPr>
          <w:b/>
          <w:sz w:val="24"/>
        </w:rPr>
      </w:r>
    </w:p>
    <w:p>
      <w:pPr>
        <w:pStyle w:val="Normal"/>
        <w:jc w:val="both"/>
        <w:rPr>
          <w:b/>
          <w:sz w:val="24"/>
        </w:rPr>
      </w:pPr>
      <w:r>
        <w:rPr>
          <w:b/>
          <w:sz w:val="24"/>
        </w:rPr>
        <w:t>Trading Practice Committee Projects:</w:t>
      </w:r>
    </w:p>
    <w:p>
      <w:pPr>
        <w:pStyle w:val="Normal"/>
        <w:jc w:val="both"/>
        <w:rPr>
          <w:b/>
          <w:sz w:val="24"/>
        </w:rPr>
      </w:pPr>
      <w:r>
        <w:rPr>
          <w:b/>
          <w:sz w:val="24"/>
        </w:rPr>
      </w:r>
    </w:p>
    <w:p>
      <w:pPr>
        <w:pStyle w:val="Normal"/>
        <w:jc w:val="both"/>
        <w:rPr>
          <w:b/>
          <w:sz w:val="24"/>
          <w:u w:val="single"/>
        </w:rPr>
      </w:pPr>
      <w:r>
        <w:rPr>
          <w:b/>
          <w:sz w:val="24"/>
          <w:u w:val="single"/>
        </w:rPr>
        <w:t>US and European Committees</w:t>
      </w:r>
    </w:p>
    <w:p>
      <w:pPr>
        <w:pStyle w:val="Normal"/>
        <w:numPr>
          <w:ilvl w:val="0"/>
          <w:numId w:val="78"/>
        </w:numPr>
        <w:jc w:val="both"/>
        <w:rPr>
          <w:sz w:val="24"/>
        </w:rPr>
      </w:pPr>
      <w:r>
        <w:rPr>
          <w:sz w:val="24"/>
        </w:rPr>
        <w:t>Electronic trading:</w:t>
      </w:r>
    </w:p>
    <w:p>
      <w:pPr>
        <w:pStyle w:val="Normal"/>
        <w:numPr>
          <w:ilvl w:val="0"/>
          <w:numId w:val="34"/>
        </w:numPr>
        <w:ind w:hanging="360" w:start="720" w:end="0"/>
        <w:jc w:val="both"/>
        <w:rPr>
          <w:sz w:val="24"/>
        </w:rPr>
      </w:pPr>
      <w:r>
        <w:rPr>
          <w:sz w:val="24"/>
        </w:rPr>
        <w:t xml:space="preserve">Its impact on market efficiency and margins </w:t>
      </w:r>
    </w:p>
    <w:p>
      <w:pPr>
        <w:pStyle w:val="Normal"/>
        <w:numPr>
          <w:ilvl w:val="0"/>
          <w:numId w:val="34"/>
        </w:numPr>
        <w:ind w:hanging="360" w:start="720" w:end="0"/>
        <w:jc w:val="both"/>
        <w:rPr>
          <w:sz w:val="24"/>
        </w:rPr>
      </w:pPr>
      <w:r>
        <w:rPr>
          <w:sz w:val="24"/>
        </w:rPr>
        <w:t>Broker initiatives, inter-dealer alliances and other consortia</w:t>
      </w:r>
    </w:p>
    <w:p>
      <w:pPr>
        <w:pStyle w:val="Normal"/>
        <w:numPr>
          <w:ilvl w:val="0"/>
          <w:numId w:val="34"/>
        </w:numPr>
        <w:ind w:hanging="360" w:start="720" w:end="0"/>
        <w:jc w:val="both"/>
        <w:rPr>
          <w:sz w:val="24"/>
        </w:rPr>
      </w:pPr>
      <w:r>
        <w:rPr>
          <w:sz w:val="24"/>
        </w:rPr>
        <w:t>The evolving role of the interbanker</w:t>
      </w:r>
    </w:p>
    <w:p>
      <w:pPr>
        <w:pStyle w:val="Normal"/>
        <w:numPr>
          <w:ilvl w:val="0"/>
          <w:numId w:val="34"/>
        </w:numPr>
        <w:ind w:hanging="360" w:start="720" w:end="0"/>
        <w:jc w:val="both"/>
        <w:rPr>
          <w:sz w:val="24"/>
        </w:rPr>
      </w:pPr>
      <w:r>
        <w:rPr>
          <w:sz w:val="24"/>
        </w:rPr>
        <w:t>Brokerage fees and the role of the voice broker</w:t>
      </w:r>
    </w:p>
    <w:p>
      <w:pPr>
        <w:pStyle w:val="Normal"/>
        <w:numPr>
          <w:ilvl w:val="0"/>
          <w:numId w:val="34"/>
        </w:numPr>
        <w:ind w:hanging="360" w:start="720" w:end="0"/>
        <w:jc w:val="both"/>
        <w:rPr>
          <w:sz w:val="24"/>
        </w:rPr>
      </w:pPr>
      <w:r>
        <w:rPr>
          <w:sz w:val="24"/>
        </w:rPr>
        <w:t>Future directions: Cross-product linkages, sectors most suitable for adaptation</w:t>
      </w:r>
    </w:p>
    <w:p>
      <w:pPr>
        <w:pStyle w:val="Normal"/>
        <w:jc w:val="both"/>
        <w:rPr>
          <w:sz w:val="24"/>
        </w:rPr>
      </w:pPr>
      <w:r>
        <w:rPr>
          <w:sz w:val="24"/>
        </w:rPr>
        <w:t xml:space="preserve">           </w:t>
      </w:r>
      <w:r>
        <w:rPr>
          <w:b/>
          <w:sz w:val="24"/>
          <w:u w:val="single"/>
        </w:rPr>
        <w:t>Timing: ongoing</w:t>
      </w:r>
    </w:p>
    <w:p>
      <w:pPr>
        <w:pStyle w:val="Normal"/>
        <w:jc w:val="both"/>
        <w:rPr>
          <w:sz w:val="24"/>
        </w:rPr>
      </w:pPr>
      <w:r>
        <w:rPr>
          <w:sz w:val="24"/>
        </w:rPr>
      </w:r>
    </w:p>
    <w:p>
      <w:pPr>
        <w:pStyle w:val="Normal"/>
        <w:numPr>
          <w:ilvl w:val="0"/>
          <w:numId w:val="48"/>
        </w:numPr>
        <w:jc w:val="both"/>
        <w:rPr>
          <w:sz w:val="24"/>
        </w:rPr>
      </w:pPr>
      <w:r>
        <w:rPr>
          <w:sz w:val="24"/>
        </w:rPr>
        <w:t xml:space="preserve">Cash settlement standards advisory to operations committee on swaptions &amp; mutual puts   </w:t>
      </w:r>
    </w:p>
    <w:p>
      <w:pPr>
        <w:pStyle w:val="Normal"/>
        <w:jc w:val="both"/>
        <w:rPr>
          <w:sz w:val="24"/>
        </w:rPr>
      </w:pPr>
      <w:r>
        <w:rPr>
          <w:sz w:val="24"/>
        </w:rPr>
        <w:t xml:space="preserve">      </w:t>
      </w:r>
      <w:r>
        <w:rPr>
          <w:b/>
          <w:sz w:val="24"/>
          <w:u w:val="single"/>
        </w:rPr>
        <w:t>Timing: Fall 2000</w:t>
      </w:r>
    </w:p>
    <w:p>
      <w:pPr>
        <w:pStyle w:val="Normal"/>
        <w:jc w:val="both"/>
        <w:rPr>
          <w:sz w:val="24"/>
        </w:rPr>
      </w:pPr>
      <w:r>
        <w:rPr>
          <w:sz w:val="24"/>
        </w:rPr>
      </w:r>
    </w:p>
    <w:p>
      <w:pPr>
        <w:pStyle w:val="Normal"/>
        <w:numPr>
          <w:ilvl w:val="0"/>
          <w:numId w:val="78"/>
        </w:numPr>
        <w:jc w:val="both"/>
        <w:rPr>
          <w:sz w:val="24"/>
        </w:rPr>
      </w:pPr>
      <w:r>
        <w:rPr>
          <w:sz w:val="24"/>
        </w:rPr>
        <w:t xml:space="preserve">Monitoring the impact of FAS 133 and other tax and accounting issues on inter-company trades and end-user activity </w:t>
      </w:r>
      <w:r>
        <w:rPr>
          <w:b/>
          <w:sz w:val="24"/>
          <w:u w:val="single"/>
        </w:rPr>
        <w:t>Timing: ongoing</w:t>
      </w:r>
    </w:p>
    <w:p>
      <w:pPr>
        <w:pStyle w:val="Normal"/>
        <w:ind w:firstLine="720" w:start="5760" w:end="0"/>
        <w:jc w:val="both"/>
        <w:rPr>
          <w:sz w:val="24"/>
        </w:rPr>
      </w:pPr>
      <w:r>
        <w:rPr>
          <w:sz w:val="24"/>
        </w:rPr>
      </w:r>
    </w:p>
    <w:p>
      <w:pPr>
        <w:pStyle w:val="Normal"/>
        <w:jc w:val="both"/>
        <w:rPr>
          <w:b/>
          <w:sz w:val="24"/>
          <w:u w:val="single"/>
        </w:rPr>
      </w:pPr>
      <w:r>
        <w:rPr>
          <w:b/>
          <w:sz w:val="24"/>
          <w:u w:val="single"/>
        </w:rPr>
        <w:t>European Committee Only</w:t>
      </w:r>
    </w:p>
    <w:p>
      <w:pPr>
        <w:pStyle w:val="Normal"/>
        <w:jc w:val="both"/>
        <w:rPr/>
      </w:pPr>
      <w:r>
        <w:rPr>
          <w:sz w:val="24"/>
        </w:rPr>
        <w:t xml:space="preserve">Euro committee collaboration on redenomination and reconventioning, including input on Greek EMU protocol </w:t>
      </w:r>
      <w:r>
        <w:rPr>
          <w:b/>
          <w:sz w:val="24"/>
          <w:u w:val="single"/>
        </w:rPr>
        <w:t>Timing: Fall</w:t>
      </w:r>
      <w:r>
        <w:rPr>
          <w:sz w:val="24"/>
        </w:rPr>
        <w:t xml:space="preserve"> </w:t>
      </w:r>
      <w:r>
        <w:rPr>
          <w:b/>
          <w:sz w:val="24"/>
        </w:rPr>
        <w:t>2000</w:t>
      </w:r>
    </w:p>
    <w:p>
      <w:pPr>
        <w:pStyle w:val="Normal"/>
        <w:jc w:val="both"/>
        <w:rPr>
          <w:b/>
          <w:sz w:val="24"/>
        </w:rPr>
      </w:pPr>
      <w:r>
        <w:rPr>
          <w:b/>
          <w:sz w:val="24"/>
        </w:rPr>
      </w:r>
      <w:r>
        <w:br w:type="page"/>
      </w:r>
    </w:p>
    <w:p>
      <w:pPr>
        <w:pStyle w:val="Normal"/>
        <w:jc w:val="both"/>
        <w:rPr>
          <w:sz w:val="24"/>
        </w:rPr>
      </w:pPr>
      <w:r>
        <w:rPr>
          <w:sz w:val="24"/>
        </w:rPr>
      </w:r>
    </w:p>
    <w:p>
      <w:pPr>
        <w:pStyle w:val="Normal"/>
        <w:jc w:val="both"/>
        <w:rPr>
          <w:b/>
          <w:sz w:val="24"/>
        </w:rPr>
      </w:pPr>
      <w:r>
        <w:rPr>
          <w:b/>
          <w:sz w:val="24"/>
        </w:rPr>
        <w:t>ISDAFIX Projects:</w:t>
      </w:r>
    </w:p>
    <w:p>
      <w:pPr>
        <w:pStyle w:val="Normal"/>
        <w:numPr>
          <w:ilvl w:val="0"/>
          <w:numId w:val="78"/>
        </w:numPr>
        <w:jc w:val="both"/>
        <w:rPr>
          <w:sz w:val="24"/>
        </w:rPr>
      </w:pPr>
      <w:r>
        <w:rPr>
          <w:sz w:val="24"/>
        </w:rPr>
        <w:t xml:space="preserve">Educating market practitioners on the scope of ISDAFIX and its potential uses, in particular its utility for options traders in closing settlement rates </w:t>
        <w:tab/>
      </w:r>
      <w:r>
        <w:rPr>
          <w:b/>
          <w:sz w:val="24"/>
          <w:u w:val="single"/>
        </w:rPr>
        <w:t>Timing: Fall 2000</w:t>
      </w:r>
    </w:p>
    <w:p>
      <w:pPr>
        <w:pStyle w:val="Normal"/>
        <w:jc w:val="both"/>
        <w:rPr>
          <w:sz w:val="24"/>
        </w:rPr>
      </w:pPr>
      <w:r>
        <w:rPr>
          <w:sz w:val="24"/>
        </w:rPr>
      </w:r>
    </w:p>
    <w:p>
      <w:pPr>
        <w:pStyle w:val="Normal"/>
        <w:numPr>
          <w:ilvl w:val="0"/>
          <w:numId w:val="78"/>
        </w:numPr>
        <w:jc w:val="both"/>
        <w:rPr>
          <w:sz w:val="24"/>
        </w:rPr>
      </w:pPr>
      <w:r>
        <w:rPr>
          <w:sz w:val="24"/>
        </w:rPr>
        <w:t xml:space="preserve">Exploring the use of ISDAFIX as default rate </w:t>
      </w:r>
      <w:r>
        <w:rPr>
          <w:b/>
          <w:sz w:val="24"/>
          <w:u w:val="single"/>
        </w:rPr>
        <w:t>Timing Fall 2000</w:t>
      </w:r>
    </w:p>
    <w:p>
      <w:pPr>
        <w:pStyle w:val="Normal"/>
        <w:jc w:val="both"/>
        <w:rPr>
          <w:sz w:val="24"/>
        </w:rPr>
      </w:pPr>
      <w:r>
        <w:rPr>
          <w:sz w:val="24"/>
        </w:rPr>
      </w:r>
    </w:p>
    <w:p>
      <w:pPr>
        <w:pStyle w:val="Normal"/>
        <w:numPr>
          <w:ilvl w:val="0"/>
          <w:numId w:val="78"/>
        </w:numPr>
        <w:jc w:val="both"/>
        <w:rPr>
          <w:sz w:val="24"/>
        </w:rPr>
      </w:pPr>
      <w:r>
        <w:rPr>
          <w:sz w:val="24"/>
        </w:rPr>
        <w:t xml:space="preserve">Broader market awareness-raising and education of members on the use of ISDAFIX, building on its inclusion in the Federal Reserve’s H-15 figures, and examination of other publication avenues </w:t>
      </w:r>
      <w:r>
        <w:rPr>
          <w:b/>
          <w:sz w:val="24"/>
          <w:u w:val="single"/>
        </w:rPr>
        <w:t>Timing: Ongoing</w:t>
      </w:r>
    </w:p>
    <w:p>
      <w:pPr>
        <w:pStyle w:val="Normal"/>
        <w:jc w:val="both"/>
        <w:rPr>
          <w:sz w:val="24"/>
        </w:rPr>
      </w:pPr>
      <w:r>
        <w:rPr>
          <w:sz w:val="24"/>
        </w:rPr>
      </w:r>
    </w:p>
    <w:p>
      <w:pPr>
        <w:pStyle w:val="Normal"/>
        <w:numPr>
          <w:ilvl w:val="0"/>
          <w:numId w:val="78"/>
        </w:numPr>
        <w:jc w:val="both"/>
        <w:rPr>
          <w:sz w:val="24"/>
        </w:rPr>
      </w:pPr>
      <w:r>
        <w:rPr>
          <w:sz w:val="24"/>
        </w:rPr>
        <w:t xml:space="preserve">Formal panel composition review process </w:t>
      </w:r>
      <w:r>
        <w:rPr>
          <w:b/>
          <w:sz w:val="24"/>
          <w:u w:val="single"/>
        </w:rPr>
        <w:t>Timing: Fall 2000</w:t>
      </w:r>
    </w:p>
    <w:p>
      <w:pPr>
        <w:pStyle w:val="Normal"/>
        <w:jc w:val="both"/>
        <w:rPr>
          <w:sz w:val="24"/>
        </w:rPr>
      </w:pPr>
      <w:r>
        <w:rPr>
          <w:sz w:val="24"/>
        </w:rPr>
      </w:r>
    </w:p>
    <w:p>
      <w:pPr>
        <w:pStyle w:val="Normal"/>
        <w:numPr>
          <w:ilvl w:val="0"/>
          <w:numId w:val="78"/>
        </w:numPr>
        <w:jc w:val="both"/>
        <w:rPr>
          <w:sz w:val="24"/>
        </w:rPr>
      </w:pPr>
      <w:r>
        <w:rPr>
          <w:sz w:val="24"/>
        </w:rPr>
        <w:t xml:space="preserve">Expansion of currencies and tenors </w:t>
      </w:r>
      <w:r>
        <w:rPr>
          <w:b/>
          <w:sz w:val="24"/>
          <w:u w:val="single"/>
        </w:rPr>
        <w:t>Timing: TBD</w:t>
      </w:r>
    </w:p>
    <w:p>
      <w:pPr>
        <w:pStyle w:val="Normal"/>
        <w:jc w:val="both"/>
        <w:rPr>
          <w:sz w:val="24"/>
        </w:rPr>
      </w:pPr>
      <w:r>
        <w:rPr>
          <w:sz w:val="24"/>
        </w:rPr>
      </w:r>
    </w:p>
    <w:p>
      <w:pPr>
        <w:pStyle w:val="Normal"/>
        <w:jc w:val="both"/>
        <w:rPr>
          <w:b/>
          <w:sz w:val="24"/>
        </w:rPr>
      </w:pPr>
      <w:r>
        <w:rPr>
          <w:b/>
          <w:sz w:val="24"/>
        </w:rPr>
        <w:t xml:space="preserve">Market Survey Project: </w:t>
      </w:r>
    </w:p>
    <w:p>
      <w:pPr>
        <w:pStyle w:val="Normal"/>
        <w:numPr>
          <w:ilvl w:val="0"/>
          <w:numId w:val="78"/>
        </w:numPr>
        <w:jc w:val="both"/>
        <w:rPr>
          <w:sz w:val="24"/>
        </w:rPr>
      </w:pPr>
      <w:r>
        <w:rPr>
          <w:sz w:val="24"/>
        </w:rPr>
        <w:t xml:space="preserve">Examination of additional data possibilities for the flash survey </w:t>
      </w:r>
      <w:r>
        <w:rPr>
          <w:b/>
          <w:sz w:val="24"/>
          <w:u w:val="single"/>
        </w:rPr>
        <w:t>Timing: Late Fall 2000</w:t>
      </w:r>
    </w:p>
    <w:p>
      <w:pPr>
        <w:pStyle w:val="Normal"/>
        <w:jc w:val="both"/>
        <w:rPr>
          <w:sz w:val="24"/>
        </w:rPr>
      </w:pPr>
      <w:r>
        <w:rPr>
          <w:sz w:val="24"/>
        </w:rPr>
      </w:r>
    </w:p>
    <w:p>
      <w:pPr>
        <w:pStyle w:val="Normal"/>
        <w:jc w:val="both"/>
        <w:rPr>
          <w:sz w:val="24"/>
        </w:rPr>
      </w:pPr>
      <w:r>
        <w:rPr>
          <w:sz w:val="24"/>
        </w:rPr>
      </w:r>
    </w:p>
    <w:p>
      <w:pPr>
        <w:pStyle w:val="Normal"/>
        <w:ind w:end="992"/>
        <w:jc w:val="both"/>
        <w:rPr>
          <w:sz w:val="24"/>
        </w:rPr>
      </w:pPr>
      <w:r>
        <w:rPr>
          <w:sz w:val="24"/>
        </w:rPr>
      </w:r>
      <w:r>
        <w:br w:type="page"/>
      </w:r>
    </w:p>
    <w:p>
      <w:pPr>
        <w:pStyle w:val="Normal"/>
        <w:pBdr>
          <w:bottom w:val="single" w:sz="12" w:space="0" w:color="000000"/>
        </w:pBdr>
        <w:rPr/>
      </w:pPr>
      <w:r>
        <w:rPr>
          <w:b/>
          <w:sz w:val="72"/>
        </w:rPr>
        <w:t>ISDA</w:t>
      </w:r>
      <w:r>
        <w:rPr>
          <w:b/>
          <w:sz w:val="24"/>
        </w:rPr>
        <w:t xml:space="preserve"> International Swaps and Derivatives Association, Inc.</w:t>
      </w:r>
    </w:p>
    <w:p>
      <w:pPr>
        <w:pStyle w:val="Heading"/>
        <w:rPr>
          <w:b w:val="false"/>
          <w:sz w:val="24"/>
        </w:rPr>
      </w:pPr>
      <w:r>
        <w:rPr>
          <w:b w:val="false"/>
          <w:sz w:val="24"/>
        </w:rPr>
      </w:r>
    </w:p>
    <w:p>
      <w:pPr>
        <w:pStyle w:val="Subtitle"/>
        <w:jc w:val="center"/>
        <w:rPr>
          <w:rFonts w:ascii="Times New Roman" w:hAnsi="Times New Roman" w:cs="Times New Roman"/>
          <w:sz w:val="28"/>
          <w:u w:val="single"/>
        </w:rPr>
      </w:pPr>
      <w:r>
        <w:rPr>
          <w:rFonts w:cs="Times New Roman" w:ascii="Times New Roman" w:hAnsi="Times New Roman"/>
          <w:sz w:val="28"/>
          <w:u w:val="single"/>
        </w:rPr>
        <w:t>U.S. Regulatory Committee</w:t>
      </w:r>
    </w:p>
    <w:p>
      <w:pPr>
        <w:pStyle w:val="Heading5"/>
        <w:ind w:hanging="0" w:start="0"/>
        <w:rPr/>
      </w:pPr>
      <w:r>
        <w:rPr/>
        <w:t>Chair: Rick Grove, ISDA</w:t>
      </w:r>
    </w:p>
    <w:p>
      <w:pPr>
        <w:pStyle w:val="Normal"/>
        <w:ind w:end="992"/>
        <w:rPr>
          <w:sz w:val="24"/>
        </w:rPr>
      </w:pPr>
      <w:r>
        <w:rPr>
          <w:sz w:val="24"/>
        </w:rPr>
      </w:r>
    </w:p>
    <w:p>
      <w:pPr>
        <w:pStyle w:val="Heading4"/>
        <w:jc w:val="both"/>
        <w:rPr>
          <w:sz w:val="24"/>
        </w:rPr>
      </w:pPr>
      <w:r>
        <w:rPr>
          <w:sz w:val="24"/>
        </w:rPr>
        <w:t>Overview</w:t>
      </w:r>
    </w:p>
    <w:p>
      <w:pPr>
        <w:pStyle w:val="Normal"/>
        <w:ind w:end="992"/>
        <w:jc w:val="both"/>
        <w:rPr>
          <w:sz w:val="24"/>
        </w:rPr>
      </w:pPr>
      <w:r>
        <w:rPr>
          <w:sz w:val="24"/>
        </w:rPr>
      </w:r>
    </w:p>
    <w:p>
      <w:pPr>
        <w:pStyle w:val="Normal"/>
        <w:jc w:val="both"/>
        <w:rPr>
          <w:sz w:val="24"/>
        </w:rPr>
      </w:pPr>
      <w:r>
        <w:rPr>
          <w:sz w:val="24"/>
        </w:rPr>
        <w:t>The U.S. Regulatory Committee analyzes and establishes policy direction for legislative and regulatory initiatives impacting privately negotiated derivatives.  The goal of the committee is to formulate ISDA positions supporting an appropriate U.S regulatory structure.</w:t>
      </w:r>
    </w:p>
    <w:p>
      <w:pPr>
        <w:pStyle w:val="Normal"/>
        <w:jc w:val="both"/>
        <w:rPr>
          <w:sz w:val="24"/>
        </w:rPr>
      </w:pPr>
      <w:r>
        <w:rPr>
          <w:sz w:val="24"/>
        </w:rPr>
      </w:r>
    </w:p>
    <w:p>
      <w:pPr>
        <w:pStyle w:val="Normal"/>
        <w:ind w:end="992"/>
        <w:jc w:val="both"/>
        <w:rPr>
          <w:b/>
          <w:sz w:val="24"/>
        </w:rPr>
      </w:pPr>
      <w:r>
        <w:rPr>
          <w:b/>
          <w:sz w:val="24"/>
        </w:rPr>
        <w:t>Current Activities</w:t>
      </w:r>
    </w:p>
    <w:p>
      <w:pPr>
        <w:pStyle w:val="Normal"/>
        <w:numPr>
          <w:ilvl w:val="0"/>
          <w:numId w:val="14"/>
        </w:numPr>
        <w:ind w:hanging="360" w:start="1080" w:end="0"/>
        <w:jc w:val="both"/>
        <w:rPr>
          <w:sz w:val="24"/>
        </w:rPr>
      </w:pPr>
      <w:r>
        <w:rPr>
          <w:sz w:val="24"/>
        </w:rPr>
        <w:t xml:space="preserve">Commodity Exchange Act Legislation – legislation providing legal certainty for OTC derivatives has been introduced in the U.S. Congress.  Legislation is likely to be considered by the U.S. House of Representatives and the U.S. Senate in </w:t>
      </w:r>
      <w:r>
        <w:rPr>
          <w:b/>
          <w:sz w:val="24"/>
          <w:u w:val="single"/>
        </w:rPr>
        <w:t>September or October of this yea</w:t>
      </w:r>
      <w:r>
        <w:rPr>
          <w:sz w:val="24"/>
        </w:rPr>
        <w:t xml:space="preserve">r.  This legislation may be passed this year; If it’s not passed this year then ISDA will continue to work for legislation in the next congress (2001-2002).  If legislation is passed this year there may be residual issues to work on in the next congress.  </w:t>
      </w:r>
    </w:p>
    <w:p>
      <w:pPr>
        <w:pStyle w:val="Normal"/>
        <w:ind w:start="720" w:end="0"/>
        <w:jc w:val="both"/>
        <w:rPr>
          <w:sz w:val="24"/>
        </w:rPr>
      </w:pPr>
      <w:r>
        <w:rPr>
          <w:sz w:val="24"/>
        </w:rPr>
      </w:r>
    </w:p>
    <w:p>
      <w:pPr>
        <w:pStyle w:val="Normal"/>
        <w:numPr>
          <w:ilvl w:val="0"/>
          <w:numId w:val="14"/>
        </w:numPr>
        <w:ind w:hanging="360" w:start="1080" w:end="0"/>
        <w:jc w:val="both"/>
        <w:rPr>
          <w:sz w:val="24"/>
        </w:rPr>
      </w:pPr>
      <w:r>
        <w:rPr>
          <w:sz w:val="24"/>
        </w:rPr>
        <w:t xml:space="preserve">Commodity Futures Trading Commission (CFTC) Regulatory Framework Proposal – The U.S. Commodity Futures Trading Commission published regulations in May 2000 modifying its regulatory structure.  The proposed framework provides the OTC markets with greater legal certainty regarding market structures and practices that have evolved or that are likely to evolve. </w:t>
      </w:r>
      <w:r>
        <w:rPr>
          <w:b/>
          <w:sz w:val="24"/>
          <w:u w:val="single"/>
        </w:rPr>
        <w:t>This proposal is expected to be finalized later this fall</w:t>
      </w:r>
      <w:r>
        <w:rPr>
          <w:sz w:val="24"/>
        </w:rPr>
        <w:t>.</w:t>
      </w:r>
    </w:p>
    <w:p>
      <w:pPr>
        <w:pStyle w:val="Normal"/>
        <w:jc w:val="both"/>
        <w:rPr>
          <w:sz w:val="24"/>
        </w:rPr>
      </w:pPr>
      <w:r>
        <w:rPr>
          <w:sz w:val="24"/>
        </w:rPr>
      </w:r>
    </w:p>
    <w:p>
      <w:pPr>
        <w:pStyle w:val="Normal"/>
        <w:numPr>
          <w:ilvl w:val="0"/>
          <w:numId w:val="15"/>
        </w:numPr>
        <w:tabs>
          <w:tab w:val="clear" w:pos="720"/>
          <w:tab w:val="left" w:pos="1080" w:leader="none"/>
        </w:tabs>
        <w:ind w:hanging="360" w:start="1080" w:end="0"/>
        <w:jc w:val="both"/>
        <w:rPr>
          <w:sz w:val="24"/>
        </w:rPr>
      </w:pPr>
      <w:r>
        <w:rPr>
          <w:color w:val="000000"/>
          <w:sz w:val="24"/>
        </w:rPr>
        <w:t xml:space="preserve">Bankruptcy--Legislation amending the U.S. Bankruptcy Code and bank insolvency laws to provide greater certainty for netting of certain derivatives and recognition of cross-product netting has been passed by the House of Representatives and the Senate. ISDA has advocated these changes together with the Bond Market Association for a number of years. The legislation, which has been in a joint House-Senate conference committee for months, is part of a comprehensive bankruptcy reform package which includes more politically controversial consumer bankruptcy reform. A separate bill has been introduced in the House to enact the financial bankruptcy reform provisions only in the event the more comprehensive bill fails. The Association is hopeful that either the comprehensive package or the financial provisions only will be enacted in </w:t>
      </w:r>
      <w:r>
        <w:rPr>
          <w:rStyle w:val="Strong"/>
          <w:color w:val="000000"/>
          <w:sz w:val="24"/>
          <w:u w:val="single"/>
        </w:rPr>
        <w:t>Fall 2000.</w:t>
      </w:r>
    </w:p>
    <w:p>
      <w:pPr>
        <w:pStyle w:val="Normal"/>
        <w:jc w:val="both"/>
        <w:rPr>
          <w:sz w:val="24"/>
        </w:rPr>
      </w:pPr>
      <w:r>
        <w:rPr>
          <w:sz w:val="24"/>
        </w:rPr>
      </w:r>
    </w:p>
    <w:p>
      <w:pPr>
        <w:pStyle w:val="Normal"/>
        <w:jc w:val="both"/>
        <w:rPr>
          <w:sz w:val="24"/>
        </w:rPr>
      </w:pPr>
      <w:r>
        <w:rPr>
          <w:sz w:val="24"/>
        </w:rPr>
      </w:r>
    </w:p>
    <w:p>
      <w:pPr>
        <w:pStyle w:val="BlockText"/>
        <w:tabs>
          <w:tab w:val="clear" w:pos="720"/>
          <w:tab w:val="left" w:pos="7797" w:leader="none"/>
        </w:tabs>
        <w:ind w:start="0" w:end="85"/>
        <w:rPr>
          <w:sz w:val="24"/>
        </w:rPr>
      </w:pPr>
      <w:r>
        <w:rPr>
          <w:sz w:val="24"/>
        </w:rPr>
      </w:r>
    </w:p>
    <w:p>
      <w:pPr>
        <w:pStyle w:val="BlockText"/>
        <w:tabs>
          <w:tab w:val="clear" w:pos="720"/>
          <w:tab w:val="left" w:pos="7797" w:leader="none"/>
        </w:tabs>
        <w:ind w:start="0" w:end="85"/>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entury">
    <w:altName w:val="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sz w:val="24"/>
        <w:color w:val="auto"/>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decimal"/>
      <w:lvlText w:val="%1."/>
      <w:lvlJc w:val="start"/>
      <w:pPr>
        <w:tabs>
          <w:tab w:val="num" w:pos="360"/>
        </w:tabs>
        <w:ind w:start="360" w:hanging="360"/>
      </w:pPr>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rPr>
    </w:lvl>
  </w:abstractNum>
  <w:abstractNum w:abstractNumId="55">
    <w:lvl w:ilvl="0">
      <w:start w:val="1"/>
      <w:numFmt w:val="bullet"/>
      <w:lvlText w:val=""/>
      <w:lvlJc w:val="start"/>
      <w:pPr>
        <w:tabs>
          <w:tab w:val="num" w:pos="360"/>
        </w:tabs>
        <w:ind w:start="360" w:hanging="360"/>
      </w:pPr>
      <w:rPr>
        <w:rFonts w:ascii="Symbol" w:hAnsi="Symbol" w:cs="Symbol" w:hint="default"/>
      </w:rPr>
    </w:lvl>
  </w:abstractNum>
  <w:abstractNum w:abstractNumId="56">
    <w:lvl w:ilvl="0">
      <w:start w:val="1"/>
      <w:numFmt w:val="bullet"/>
      <w:lvlText w:val=""/>
      <w:lvlJc w:val="start"/>
      <w:pPr>
        <w:tabs>
          <w:tab w:val="num" w:pos="360"/>
        </w:tabs>
        <w:ind w:start="360" w:hanging="360"/>
      </w:pPr>
      <w:rPr>
        <w:rFonts w:ascii="Symbol" w:hAnsi="Symbol" w:cs="Symbol" w:hint="default"/>
      </w:rPr>
    </w:lvl>
  </w:abstractNum>
  <w:abstractNum w:abstractNumId="57">
    <w:lvl w:ilvl="0">
      <w:numFmt w:val="bullet"/>
      <w:lvlText w:val=""/>
      <w:lvlJc w:val="start"/>
      <w:pPr>
        <w:tabs>
          <w:tab w:val="num" w:pos="360"/>
        </w:tabs>
        <w:ind w:start="360" w:hanging="360"/>
      </w:pPr>
      <w:rPr>
        <w:rFonts w:ascii="Symbol" w:hAnsi="Symbol" w:cs="Symbol" w:hint="default"/>
      </w:rPr>
    </w:lvl>
  </w:abstractNum>
  <w:abstractNum w:abstractNumId="58">
    <w:lvl w:ilvl="0">
      <w:start w:val="1"/>
      <w:numFmt w:val="bullet"/>
      <w:lvlText w:val=""/>
      <w:lvlJc w:val="start"/>
      <w:pPr>
        <w:tabs>
          <w:tab w:val="num" w:pos="360"/>
        </w:tabs>
        <w:ind w:start="360" w:hanging="360"/>
      </w:pPr>
      <w:rPr>
        <w:rFonts w:ascii="Symbol" w:hAnsi="Symbol" w:cs="Symbol" w:hint="default"/>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bullet"/>
      <w:lvlText w:val=""/>
      <w:lvlJc w:val="start"/>
      <w:pPr>
        <w:tabs>
          <w:tab w:val="num" w:pos="360"/>
        </w:tabs>
        <w:ind w:start="360" w:hanging="360"/>
      </w:pPr>
      <w:rPr>
        <w:rFonts w:ascii="Symbol" w:hAnsi="Symbol" w:cs="Symbol" w:hint="default"/>
      </w:rPr>
    </w:lvl>
  </w:abstractNum>
  <w:abstractNum w:abstractNumId="65">
    <w:lvl w:ilvl="0">
      <w:start w:val="1"/>
      <w:numFmt w:val="bullet"/>
      <w:lvlText w:val=""/>
      <w:lvlJc w:val="start"/>
      <w:pPr>
        <w:tabs>
          <w:tab w:val="num" w:pos="360"/>
        </w:tabs>
        <w:ind w:start="360" w:hanging="360"/>
      </w:pPr>
      <w:rPr>
        <w:rFonts w:ascii="Symbol" w:hAnsi="Symbol" w:cs="Symbol" w:hint="default"/>
      </w:r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1"/>
      <w:numFmt w:val="bullet"/>
      <w:lvlText w:val=""/>
      <w:lvlJc w:val="start"/>
      <w:pPr>
        <w:tabs>
          <w:tab w:val="num" w:pos="360"/>
        </w:tabs>
        <w:ind w:start="360" w:hanging="360"/>
      </w:pPr>
      <w:rPr>
        <w:rFonts w:ascii="Symbol" w:hAnsi="Symbol" w:cs="Symbol" w:hint="default"/>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abstractNum w:abstractNumId="70">
    <w:lvl w:ilvl="0">
      <w:start w:val="1"/>
      <w:numFmt w:val="bullet"/>
      <w:lvlText w:val=""/>
      <w:lvlJc w:val="start"/>
      <w:pPr>
        <w:tabs>
          <w:tab w:val="num" w:pos="360"/>
        </w:tabs>
        <w:ind w:start="360" w:hanging="360"/>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rPr>
    </w:lvl>
  </w:abstractNum>
  <w:abstractNum w:abstractNumId="72">
    <w:lvl w:ilvl="0">
      <w:start w:val="1"/>
      <w:numFmt w:val="bullet"/>
      <w:lvlText w:val=""/>
      <w:lvlJc w:val="start"/>
      <w:pPr>
        <w:tabs>
          <w:tab w:val="num" w:pos="360"/>
        </w:tabs>
        <w:ind w:start="360" w:hanging="360"/>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abstractNum w:abstractNumId="74">
    <w:lvl w:ilvl="0">
      <w:start w:val="1"/>
      <w:numFmt w:val="bullet"/>
      <w:lvlText w:val=""/>
      <w:lvlJc w:val="start"/>
      <w:pPr>
        <w:tabs>
          <w:tab w:val="num" w:pos="360"/>
        </w:tabs>
        <w:ind w:start="360" w:hanging="360"/>
      </w:pPr>
      <w:rPr>
        <w:rFonts w:ascii="Symbol" w:hAnsi="Symbol" w:cs="Symbol" w:hint="default"/>
      </w:rPr>
    </w:lvl>
  </w:abstractNum>
  <w:abstractNum w:abstractNumId="75">
    <w:lvl w:ilvl="0">
      <w:start w:val="1"/>
      <w:numFmt w:val="bullet"/>
      <w:lvlText w:val=""/>
      <w:lvlJc w:val="start"/>
      <w:pPr>
        <w:tabs>
          <w:tab w:val="num" w:pos="360"/>
        </w:tabs>
        <w:ind w:start="360" w:hanging="360"/>
      </w:pPr>
      <w:rPr>
        <w:rFonts w:ascii="Symbol" w:hAnsi="Symbol" w:cs="Symbol" w:hint="default"/>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bullet"/>
      <w:lvlText w:val=""/>
      <w:lvlJc w:val="start"/>
      <w:pPr>
        <w:tabs>
          <w:tab w:val="num" w:pos="360"/>
        </w:tabs>
        <w:ind w:start="360" w:hanging="360"/>
      </w:pPr>
      <w:rPr>
        <w:rFonts w:ascii="Symbol" w:hAnsi="Symbol" w:cs="Symbol" w:hint="default"/>
      </w:rPr>
    </w:lvl>
  </w:abstractNum>
  <w:abstractNum w:abstractNumId="7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sz w:val="22"/>
      <w:u w:val="single"/>
    </w:rPr>
  </w:style>
  <w:style w:type="paragraph" w:styleId="Heading2">
    <w:name w:val="heading 2"/>
    <w:basedOn w:val="Normal"/>
    <w:next w:val="Normal"/>
    <w:qFormat/>
    <w:pPr>
      <w:keepNext w:val="true"/>
      <w:numPr>
        <w:ilvl w:val="1"/>
        <w:numId w:val="1"/>
      </w:numPr>
      <w:spacing w:lineRule="auto" w:line="360"/>
      <w:jc w:val="center"/>
      <w:outlineLvl w:val="1"/>
    </w:pPr>
    <w:rPr>
      <w:b/>
      <w:sz w:val="24"/>
      <w:u w:val="single"/>
    </w:rPr>
  </w:style>
  <w:style w:type="paragraph" w:styleId="Heading3">
    <w:name w:val="heading 3"/>
    <w:basedOn w:val="Normal"/>
    <w:next w:val="Normal"/>
    <w:qFormat/>
    <w:pPr>
      <w:keepNext w:val="true"/>
      <w:numPr>
        <w:ilvl w:val="0"/>
        <w:numId w:val="6"/>
      </w:numPr>
      <w:outlineLvl w:val="2"/>
    </w:pPr>
    <w:rPr>
      <w:b/>
      <w:sz w:val="22"/>
    </w:rPr>
  </w:style>
  <w:style w:type="paragraph" w:styleId="Heading4">
    <w:name w:val="heading 4"/>
    <w:basedOn w:val="Normal"/>
    <w:next w:val="Normal"/>
    <w:qFormat/>
    <w:pPr>
      <w:keepNext w:val="true"/>
      <w:numPr>
        <w:ilvl w:val="3"/>
        <w:numId w:val="1"/>
      </w:numPr>
      <w:ind w:hanging="0" w:start="0" w:end="992"/>
      <w:outlineLvl w:val="3"/>
    </w:pPr>
    <w:rPr>
      <w:b/>
      <w:sz w:val="22"/>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both"/>
      <w:outlineLvl w:val="5"/>
    </w:pPr>
    <w:rPr>
      <w:b/>
    </w:rPr>
  </w:style>
  <w:style w:type="paragraph" w:styleId="Heading7">
    <w:name w:val="heading 7"/>
    <w:basedOn w:val="Normal"/>
    <w:next w:val="Normal"/>
    <w:qFormat/>
    <w:pPr>
      <w:keepNext w:val="true"/>
      <w:numPr>
        <w:ilvl w:val="6"/>
        <w:numId w:val="1"/>
      </w:numPr>
      <w:jc w:val="both"/>
      <w:outlineLvl w:val="6"/>
    </w:pPr>
    <w:rPr>
      <w:b/>
      <w:sz w:val="24"/>
      <w:u w:val="single"/>
    </w:rPr>
  </w:style>
  <w:style w:type="paragraph" w:styleId="Heading8">
    <w:name w:val="heading 8"/>
    <w:basedOn w:val="Normal"/>
    <w:next w:val="Normal"/>
    <w:qFormat/>
    <w:pPr>
      <w:keepNext w:val="true"/>
      <w:numPr>
        <w:ilvl w:val="7"/>
        <w:numId w:val="1"/>
      </w:numPr>
      <w:jc w:val="both"/>
      <w:outlineLvl w:val="7"/>
    </w:pPr>
    <w:rPr>
      <w:b/>
      <w:u w:val="single"/>
    </w:rPr>
  </w:style>
  <w:style w:type="paragraph" w:styleId="Heading9">
    <w:name w:val="heading 9"/>
    <w:basedOn w:val="Normal"/>
    <w:next w:val="Normal"/>
    <w:qFormat/>
    <w:pPr>
      <w:keepNext w:val="true"/>
      <w:numPr>
        <w:ilvl w:val="8"/>
        <w:numId w:val="1"/>
      </w:numPr>
      <w:outlineLvl w:val="8"/>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sz w:val="24"/>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color w:val="auto"/>
      <w:sz w:val="16"/>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St1z0">
    <w:name w:val="WW8NumSt1z0"/>
    <w:qFormat/>
    <w:rPr>
      <w:rFonts w:ascii="Symbol" w:hAnsi="Symbol" w:cs="Symbol"/>
      <w:b w:val="false"/>
      <w:i w:val="false"/>
      <w:sz w:val="20"/>
      <w:u w:val="none"/>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lang w:val="en-US"/>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810" w:end="693"/>
      <w:jc w:val="both"/>
    </w:pPr>
    <w:rPr>
      <w:sz w:val="24"/>
      <w:lang w:eastAsia="en-US"/>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hanging="0" w:start="1440" w:end="0"/>
      <w:jc w:val="both"/>
    </w:pPr>
    <w:rPr>
      <w:sz w:val="24"/>
    </w:rPr>
  </w:style>
  <w:style w:type="paragraph" w:styleId="BodyText2">
    <w:name w:val="Body Text 2"/>
    <w:basedOn w:val="Normal"/>
    <w:qFormat/>
    <w:pPr>
      <w:ind w:hanging="0" w:start="0" w:end="85"/>
      <w:jc w:val="both"/>
    </w:pPr>
    <w:rPr/>
  </w:style>
  <w:style w:type="paragraph" w:styleId="BodyText3">
    <w:name w:val="Body Text 3"/>
    <w:basedOn w:val="Normal"/>
    <w:qFormat/>
    <w:pPr>
      <w:jc w:val="both"/>
    </w:pPr>
    <w:rPr>
      <w:sz w:val="24"/>
    </w:rPr>
  </w:style>
  <w:style w:type="paragraph" w:styleId="BodyTextIndent">
    <w:name w:val="Body Text Indent"/>
    <w:basedOn w:val="Normal"/>
    <w:pPr>
      <w:widowControl w:val="false"/>
      <w:ind w:hanging="0" w:start="945" w:end="0"/>
      <w:jc w:val="both"/>
    </w:pPr>
    <w:rPr>
      <w:rFonts w:ascii="Century;Century Schoolbook" w:hAnsi="Century;Century Schoolbook" w:eastAsia="ＭＳ 明朝;MS Mincho" w:cs="Century;Century Schoolbook"/>
      <w:kern w:val="2"/>
      <w:sz w:val="21"/>
      <w:lang w:val="en-US" w:eastAsia="ja-JP"/>
    </w:rPr>
  </w:style>
  <w:style w:type="paragraph" w:styleId="Subtitle">
    <w:name w:val="Subtitle"/>
    <w:basedOn w:val="Normal"/>
    <w:next w:val="BodyText"/>
    <w:qFormat/>
    <w:pPr>
      <w:widowControl w:val="false"/>
    </w:pPr>
    <w:rPr>
      <w:rFonts w:ascii="Century;Century Schoolbook" w:hAnsi="Century;Century Schoolbook" w:eastAsia="ＭＳ 明朝;MS Mincho" w:cs="Century;Century Schoolbook"/>
      <w:b/>
      <w:kern w:val="2"/>
      <w:sz w:val="21"/>
      <w:lang w:val="en-US" w:eastAsia="ja-JP"/>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2000-08-10T14:06:00Z</dcterms:created>
  <dc:creator>ISDA</dc:creator>
  <dc:description/>
  <dc:language>en-CA</dc:language>
  <cp:lastModifiedBy>Corrinne Greasley</cp:lastModifiedBy>
  <cp:lastPrinted>2000-08-29T13:31:00Z</cp:lastPrinted>
  <dcterms:modified xsi:type="dcterms:W3CDTF">2000-08-29T15:27:00Z</dcterms:modified>
  <cp:revision>14</cp:revision>
  <dc:subject/>
  <dc:title>OVERVIEW OF EMU TOPICS TARGETED BY ISDA</dc:title>
</cp:coreProperties>
</file>