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November 29, 2000</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Alcoa Power Generating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James Nixon</w:t>
      </w:r>
      <w:r>
        <w:rPr>
          <w:sz w:val="22"/>
        </w:rPr>
        <w:fldChar w:fldCharType="end"/>
      </w:r>
    </w:p>
    <w:p>
      <w:pPr>
        <w:pStyle w:val="Normal"/>
        <w:rPr>
          <w:sz w:val="22"/>
        </w:rPr>
      </w:pPr>
      <w:r>
        <w:rPr>
          <w:sz w:val="22"/>
        </w:rPr>
        <w:t>Fax No.:</w:t>
        <w:tab/>
        <w:tab/>
        <w:tab/>
        <w:t>(865) 594-4754</w:t>
      </w:r>
      <w:r>
        <w:rPr>
          <w:sz w:val="22"/>
        </w:rPr>
        <w:fldChar w:fldCharType="begin"/>
      </w:r>
      <w:r>
        <w:rPr>
          <w:sz w:val="22"/>
        </w:rPr>
        <w:instrText xml:space="preserve"> MERGEFIELD CounterpartyFax </w:instrText>
      </w:r>
      <w:r>
        <w:rPr>
          <w:sz w:val="22"/>
        </w:rPr>
        <w:fldChar w:fldCharType="separate"/>
      </w:r>
      <w:r>
        <w:rPr>
          <w:sz w:val="22"/>
        </w:rPr>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469629.01</w:t>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t xml:space="preserve"> </w:t>
            </w:r>
            <w:r>
              <w:rPr>
                <w:sz w:val="22"/>
              </w:rPr>
              <w:t>MWs per hour for each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November 29,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December 1,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December 1, 2000 and ending on December 31, 2000</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$46.40/MWh.</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rPr/>
            </w:pPr>
            <w:r>
              <w:rPr>
                <w:sz w:val="22"/>
              </w:rPr>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or any successor thereto, under the headings “Day Ahead Market LBMP – Zonal; Zonal Prices; North (61755) (Zone D) for “All Hours” during the applicable Determination Period.</w:t>
            </w:r>
          </w:p>
          <w:p>
            <w:pPr>
              <w:pStyle w:val="Normal"/>
              <w:jc w:val="both"/>
              <w:rPr>
                <w:sz w:val="22"/>
              </w:rPr>
            </w:pPr>
            <w:r>
              <w:rPr>
                <w:sz w:val="22"/>
              </w:rPr>
            </w:r>
          </w:p>
          <w:p>
            <w:pPr>
              <w:pStyle w:val="Normal"/>
              <w:jc w:val="both"/>
              <w:rPr>
                <w:sz w:val="22"/>
              </w:rPr>
            </w:pPr>
            <w:r>
              <w:rPr>
                <w:sz w:val="22"/>
              </w:rPr>
              <w:t>“</w:t>
            </w:r>
            <w:r>
              <w:rPr>
                <w:sz w:val="22"/>
              </w:rPr>
              <w:t>All Hours” means the hours commencing HE 0100 through HE 2400 Eastern Prevailing Time, Sunday through Saturday (including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r>
        <w:trPr/>
        <w:tc>
          <w:tcPr>
            <w:tcW w:w="4338" w:type="dxa"/>
            <w:tcBorders/>
          </w:tcPr>
          <w:p>
            <w:pPr>
              <w:pStyle w:val="Normal"/>
              <w:snapToGrid w:val="false"/>
              <w:rPr>
                <w:b/>
                <w:sz w:val="22"/>
              </w:rPr>
            </w:pPr>
            <w:r>
              <w:rPr>
                <w:b/>
                <w:sz w:val="22"/>
              </w:rPr>
            </w:r>
          </w:p>
        </w:tc>
        <w:tc>
          <w:tcPr>
            <w:tcW w:w="6102" w:type="dxa"/>
            <w:tcBorders/>
          </w:tcPr>
          <w:p>
            <w:pPr>
              <w:pStyle w:val="Normal"/>
              <w:snapToGrid w:val="false"/>
              <w:jc w:val="both"/>
              <w:rPr>
                <w:b/>
                <w:sz w:val="22"/>
              </w:rPr>
            </w:pPr>
            <w:r>
              <w:rPr>
                <w:b/>
                <w:sz w:val="22"/>
              </w:rPr>
            </w:r>
          </w:p>
        </w:tc>
      </w:tr>
      <w:tr>
        <w:trPr/>
        <w:tc>
          <w:tcPr>
            <w:tcW w:w="4338" w:type="dxa"/>
            <w:tcBorders/>
          </w:tcPr>
          <w:p>
            <w:pPr>
              <w:pStyle w:val="Normal"/>
              <w:rPr>
                <w:b/>
                <w:sz w:val="22"/>
              </w:rPr>
            </w:pPr>
            <w:r>
              <w:rPr>
                <w:b/>
                <w:sz w:val="22"/>
              </w:rPr>
              <w:t>Credit or Other Special Provisions:</w:t>
            </w:r>
          </w:p>
        </w:tc>
        <w:tc>
          <w:tcPr>
            <w:tcW w:w="6102" w:type="dxa"/>
            <w:tcBorders/>
          </w:tcPr>
          <w:p>
            <w:pPr>
              <w:pStyle w:val="Normal"/>
              <w:jc w:val="both"/>
              <w:rPr>
                <w:sz w:val="22"/>
              </w:rPr>
            </w:pPr>
            <w:r>
              <w:rPr>
                <w:color w:val="000000"/>
                <w:sz w:val="22"/>
                <w:lang w:eastAsia="en-US"/>
              </w:rPr>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Alcoa Power Generating Inc.</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br/>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Director, Trading</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November 30, 2000</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469629.01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u w:val="single"/>
      <w:lang w:eastAsia="en-US"/>
    </w:rPr>
  </w:style>
  <w:style w:type="paragraph" w:styleId="Heading2">
    <w:name w:val="heading 2"/>
    <w:basedOn w:val="Normal"/>
    <w:next w:val="Normal"/>
    <w:qFormat/>
    <w:pPr>
      <w:keepNext w:val="true"/>
      <w:numPr>
        <w:ilvl w:val="1"/>
        <w:numId w:val="1"/>
      </w:numPr>
      <w:jc w:val="center"/>
      <w:outlineLvl w:val="1"/>
    </w:pPr>
    <w:rPr>
      <w:b/>
      <w:sz w:val="22"/>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2000-11-30T19:50:00Z</dcterms:created>
  <dc:creator>ECT</dc:creator>
  <dc:description/>
  <dc:language>en-CA</dc:language>
  <cp:lastModifiedBy>Melissa Murphy</cp:lastModifiedBy>
  <dcterms:modified xsi:type="dcterms:W3CDTF">2000-11-30T19:50:00Z</dcterms:modified>
  <cp:revision>2</cp:revision>
  <dc:subject/>
  <dc:title>469629.01</dc:title>
</cp:coreProperties>
</file>