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b/>
          <w:bCs/>
          <w:sz w:val="22"/>
          <w:szCs w:val="22"/>
        </w:rPr>
      </w:pPr>
      <w:r>
        <w:rPr>
          <w:b/>
          <w:bCs/>
          <w:sz w:val="22"/>
          <w:szCs w:val="22"/>
        </w:rPr>
        <w:t>ALCAN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 (the “Effective Date”),  is made and entered into by ALCAN INC., a Quebec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ALCAN ALUMINUM CORPORATION, a _______ corporation and an affiliate of Guarantor (“Counterparty”) and </w:t>
      </w:r>
      <w:r>
        <w:rPr>
          <w:caps/>
          <w:sz w:val="22"/>
        </w:rPr>
        <w:t>Enron North America Corp.</w:t>
      </w:r>
      <w:r>
        <w:rPr>
          <w:sz w:val="22"/>
        </w:rPr>
        <w:t>,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as the same may from time to time be modified, amended and supplemented (all such Financial Transactions and the agreements evidencing same,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BodyTextIndent"/>
        <w:tabs>
          <w:tab w:val="clear" w:pos="6480"/>
        </w:tabs>
        <w:rPr/>
      </w:pPr>
      <w:r>
        <w:rPr/>
        <w:t xml:space="preserve">WHEREAS, Counterparty and </w:t>
      </w:r>
      <w:r>
        <w:rPr>
          <w:caps/>
        </w:rPr>
        <w:t>Enron Power Marketing, Inc.</w:t>
      </w:r>
      <w:r>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as the same may from time to time be modified, amended and supplemented (all such Power Transactions and the agreements evidencing same, whether entered into prior to, on or after the date hereof, as the same may be modified, amended and supplemented, shall be herein referred to collectively as the “Power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$25,000,000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U.S.$25,000,000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Province of Quebec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458"/>
        <w:gridCol w:w="3060"/>
        <w:gridCol w:w="1620"/>
        <w:gridCol w:w="3960"/>
      </w:tblGrid>
      <w:tr>
        <w:trPr/>
        <w:tc>
          <w:tcPr>
            <w:tcW w:w="1458" w:type="dxa"/>
            <w:tcBorders/>
          </w:tcPr>
          <w:p>
            <w:pPr>
              <w:pStyle w:val="Normal"/>
              <w:keepNext w:val="true"/>
              <w:keepLines/>
              <w:spacing w:lineRule="atLeast" w:line="240"/>
              <w:rPr>
                <w:sz w:val="22"/>
              </w:rPr>
            </w:pPr>
            <w:r>
              <w:rPr>
                <w:sz w:val="22"/>
              </w:rPr>
              <w:t>To the Enron Parties:</w:t>
            </w:r>
          </w:p>
        </w:tc>
        <w:tc>
          <w:tcPr>
            <w:tcW w:w="3060" w:type="dxa"/>
            <w:tcBorders/>
          </w:tcPr>
          <w:p>
            <w:pPr>
              <w:pStyle w:val="Normal"/>
              <w:keepNext w:val="true"/>
              <w:keepLines/>
              <w:spacing w:lineRule="atLeast" w:line="240"/>
              <w:rPr>
                <w:sz w:val="22"/>
              </w:rPr>
            </w:pPr>
            <w:r>
              <w:rPr>
                <w:sz w:val="22"/>
              </w:rPr>
              <w:t>Enron North America Corp.</w:t>
            </w:r>
          </w:p>
        </w:tc>
        <w:tc>
          <w:tcPr>
            <w:tcW w:w="162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Alcan Inc.</w:t>
            </w:r>
          </w:p>
        </w:tc>
      </w:tr>
      <w:tr>
        <w:trPr/>
        <w:tc>
          <w:tcPr>
            <w:tcW w:w="1458" w:type="dxa"/>
            <w:tcBorders/>
          </w:tcPr>
          <w:p>
            <w:pPr>
              <w:pStyle w:val="Normal"/>
              <w:keepNext w:val="true"/>
              <w:keepLines/>
              <w:snapToGrid w:val="false"/>
              <w:spacing w:lineRule="atLeast" w:line="240"/>
              <w:rPr>
                <w:sz w:val="22"/>
              </w:rPr>
            </w:pPr>
            <w:r>
              <w:rPr>
                <w:sz w:val="22"/>
              </w:rPr>
            </w:r>
          </w:p>
        </w:tc>
        <w:tc>
          <w:tcPr>
            <w:tcW w:w="306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06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060" w:type="dxa"/>
            <w:tcBorders/>
          </w:tcPr>
          <w:p>
            <w:pPr>
              <w:pStyle w:val="Normal"/>
              <w:keepNext w:val="true"/>
              <w:keepLines/>
              <w:spacing w:lineRule="atLeast" w:line="240"/>
              <w:rPr>
                <w:sz w:val="22"/>
              </w:rPr>
            </w:pPr>
            <w:r>
              <w:rPr>
                <w:sz w:val="22"/>
              </w:rPr>
              <w:t>Attn.:</w:t>
              <w:tab/>
              <w:t>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458" w:type="dxa"/>
            <w:tcBorders/>
          </w:tcPr>
          <w:p>
            <w:pPr>
              <w:pStyle w:val="Normal"/>
              <w:keepNext w:val="true"/>
              <w:keepLines/>
              <w:snapToGrid w:val="false"/>
              <w:spacing w:lineRule="atLeast" w:line="240"/>
              <w:rPr>
                <w:sz w:val="22"/>
              </w:rPr>
            </w:pPr>
            <w:r>
              <w:rPr>
                <w:sz w:val="22"/>
              </w:rPr>
            </w:r>
          </w:p>
        </w:tc>
        <w:tc>
          <w:tcPr>
            <w:tcW w:w="306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b/>
          <w:bCs/>
          <w:sz w:val="22"/>
        </w:rPr>
      </w:pPr>
      <w:r>
        <w:rPr>
          <w:b/>
          <w:bCs/>
          <w:sz w:val="22"/>
        </w:rPr>
        <w:t>ALCAN INC.</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/mnt/main-storage/datasets/enron-docs/doc/alcan_alum_parent.doc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2001-10-03T18:47:00Z</dcterms:created>
  <dc:creator>tjones</dc:creator>
  <dc:description/>
  <dc:language>en-CA</dc:language>
  <cp:lastModifiedBy>spanus</cp:lastModifiedBy>
  <cp:lastPrinted>2001-10-03T16:30:00Z</cp:lastPrinted>
  <dcterms:modified xsi:type="dcterms:W3CDTF">2001-10-03T19:04:00Z</dcterms:modified>
  <cp:revision>4</cp:revision>
  <dc:subject/>
  <dc:title>EXHIBIT A</dc:title>
</cp:coreProperties>
</file>