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Alan Comnes</w:t>
        <w:tab/>
      </w:r>
    </w:p>
    <w:p>
      <w:pPr>
        <w:pStyle w:val="Normal"/>
        <w:rPr/>
      </w:pPr>
      <w:r>
        <w:rPr/>
      </w:r>
    </w:p>
    <w:p>
      <w:pPr>
        <w:pStyle w:val="Normal"/>
        <w:rPr/>
      </w:pPr>
      <w:r>
        <w:rPr/>
        <w:t>From:</w:t>
        <w:tab/>
        <w:t>Sean Crandall</w:t>
      </w:r>
    </w:p>
    <w:p>
      <w:pPr>
        <w:pStyle w:val="Normal"/>
        <w:rPr/>
      </w:pPr>
      <w:r>
        <w:rPr/>
      </w:r>
    </w:p>
    <w:p>
      <w:pPr>
        <w:pStyle w:val="Normal"/>
        <w:rPr/>
      </w:pPr>
      <w:r>
        <w:rPr/>
        <w:t>Re:</w:t>
        <w:tab/>
        <w:t>ISO Market Stabilization, ATC Reductions, and Manipulation of Industry Practice and Protocol</w:t>
      </w:r>
    </w:p>
    <w:p>
      <w:pPr>
        <w:pStyle w:val="Normal"/>
        <w:rPr/>
      </w:pPr>
      <w:r>
        <w:rPr/>
      </w:r>
    </w:p>
    <w:p>
      <w:pPr>
        <w:pStyle w:val="Normal"/>
        <w:rPr/>
      </w:pPr>
      <w:r>
        <w:rPr/>
        <w:t>Date:</w:t>
        <w:tab/>
        <w:t>April 4, 2001</w:t>
      </w:r>
    </w:p>
    <w:p>
      <w:pPr>
        <w:pStyle w:val="Normal"/>
        <w:rPr/>
      </w:pPr>
      <w:r>
        <w:rPr/>
      </w:r>
    </w:p>
    <w:p>
      <w:pPr>
        <w:pStyle w:val="Normal"/>
        <w:rPr/>
      </w:pPr>
      <w:r>
        <w:rPr/>
      </w:r>
    </w:p>
    <w:p>
      <w:pPr>
        <w:pStyle w:val="Normal"/>
        <w:rPr/>
      </w:pPr>
      <w:r>
        <w:rPr/>
        <w:t>There are several issues I want to address here.  First, I have read Reliant’s complaint and agree with it for the most part.  However, I think it is important to differentiate the ISO’s proposal to curtail exports into exports utilizing ISO transmission rights and exports utilizing non-ISO transmission rights (Muni, LDWP, WAPA).  If we add anything to the complaint, it should be that (1) they don’t have the right to cut exports under emergency conditions that do not conform with standard utility practice and/or Good Utility Practice, and (2) they have absolutely no right to curtail non-ISO transmission rights unless these curtailments are consistent with standard utility practice AND Good Utility Practice.</w:t>
      </w:r>
    </w:p>
    <w:p>
      <w:pPr>
        <w:pStyle w:val="Normal"/>
        <w:rPr/>
      </w:pPr>
      <w:r>
        <w:rPr/>
      </w:r>
    </w:p>
    <w:p>
      <w:pPr>
        <w:pStyle w:val="Normal"/>
        <w:rPr/>
      </w:pPr>
      <w:r>
        <w:rPr/>
        <w:t>For the rest of this memo, I will initially lay out each of my complaints, and then I’ll provide support justifying the complaint.</w:t>
      </w:r>
    </w:p>
    <w:p>
      <w:pPr>
        <w:pStyle w:val="Normal"/>
        <w:rPr/>
      </w:pPr>
      <w:r>
        <w:rPr/>
      </w:r>
    </w:p>
    <w:p>
      <w:pPr>
        <w:pStyle w:val="Normal"/>
        <w:rPr/>
      </w:pPr>
      <w:r>
        <w:rPr/>
      </w:r>
    </w:p>
    <w:p>
      <w:pPr>
        <w:pStyle w:val="Normal"/>
        <w:numPr>
          <w:ilvl w:val="0"/>
          <w:numId w:val="1"/>
        </w:numPr>
        <w:rPr/>
      </w:pPr>
      <w:r>
        <w:rPr/>
        <w:t>Complaint #1:  Provided below is a table of average hourly TTC and ATC data from the ISO web site.  The data reflect COB S/N values from January 2000 to April 2001.</w:t>
        <w:br/>
      </w:r>
    </w:p>
    <w:tbl>
      <w:tblPr>
        <w:tblW w:w="4320" w:type="dxa"/>
        <w:jc w:val="start"/>
        <w:tblInd w:w="0" w:type="dxa"/>
        <w:tblLayout w:type="fixed"/>
        <w:tblCellMar>
          <w:top w:w="0" w:type="dxa"/>
          <w:start w:w="30" w:type="dxa"/>
          <w:bottom w:w="0" w:type="dxa"/>
          <w:end w:w="30" w:type="dxa"/>
        </w:tblCellMar>
      </w:tblPr>
      <w:tblGrid>
        <w:gridCol w:w="1010"/>
        <w:gridCol w:w="2081"/>
        <w:gridCol w:w="615"/>
        <w:gridCol w:w="614"/>
      </w:tblGrid>
      <w:tr>
        <w:trPr>
          <w:trHeight w:val="247" w:hRule="atLeast"/>
        </w:trPr>
        <w:tc>
          <w:tcPr>
            <w:tcW w:w="1010" w:type="dxa"/>
            <w:tcBorders>
              <w:top w:val="single" w:sz="6" w:space="0" w:color="000000"/>
              <w:start w:val="single" w:sz="6" w:space="0" w:color="000000"/>
              <w:bottom w:val="single" w:sz="6" w:space="0" w:color="000000"/>
              <w:end w:val="single" w:sz="2"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6"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15"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Year</w:t>
            </w:r>
          </w:p>
        </w:tc>
        <w:tc>
          <w:tcPr>
            <w:tcW w:w="614"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Month</w:t>
            </w:r>
          </w:p>
        </w:tc>
        <w:tc>
          <w:tcPr>
            <w:tcW w:w="2081"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Data</w:t>
            </w:r>
          </w:p>
        </w:tc>
        <w:tc>
          <w:tcPr>
            <w:tcW w:w="615" w:type="dxa"/>
            <w:tcBorders>
              <w:top w:val="single" w:sz="6" w:space="0" w:color="000000"/>
              <w:start w:val="single" w:sz="6" w:space="0" w:color="000000"/>
              <w:bottom w:val="single" w:sz="6" w:space="0" w:color="000000"/>
              <w:end w:val="single" w:sz="2" w:space="0" w:color="000000"/>
            </w:tcBorders>
          </w:tcPr>
          <w:p>
            <w:pPr>
              <w:pStyle w:val="Normal"/>
              <w:rPr>
                <w:rFonts w:ascii="Arial" w:hAnsi="Arial" w:cs="Arial"/>
                <w:color w:val="000000"/>
                <w:lang w:eastAsia="en-US"/>
              </w:rPr>
            </w:pPr>
            <w:r>
              <w:rPr>
                <w:rFonts w:cs="Arial" w:ascii="Arial" w:hAnsi="Arial"/>
                <w:color w:val="000000"/>
                <w:lang w:eastAsia="en-US"/>
              </w:rPr>
              <w:t>00</w:t>
            </w:r>
          </w:p>
        </w:tc>
        <w:tc>
          <w:tcPr>
            <w:tcW w:w="614" w:type="dxa"/>
            <w:tcBorders>
              <w:top w:val="single" w:sz="6" w:space="0" w:color="000000"/>
              <w:start w:val="single" w:sz="2"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01</w:t>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Jan</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3,517</w:t>
            </w:r>
          </w:p>
        </w:tc>
        <w:tc>
          <w:tcPr>
            <w:tcW w:w="614"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3,635</w:t>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730</w:t>
            </w:r>
          </w:p>
        </w:tc>
        <w:tc>
          <w:tcPr>
            <w:tcW w:w="614" w:type="dxa"/>
            <w:tcBorders>
              <w:top w:val="single" w:sz="2"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36</w:t>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Feb</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3,654</w:t>
            </w:r>
          </w:p>
        </w:tc>
        <w:tc>
          <w:tcPr>
            <w:tcW w:w="614"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3,567</w:t>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791</w:t>
            </w:r>
          </w:p>
        </w:tc>
        <w:tc>
          <w:tcPr>
            <w:tcW w:w="614" w:type="dxa"/>
            <w:tcBorders>
              <w:top w:val="single" w:sz="2"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37</w:t>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Mar</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3,240</w:t>
            </w:r>
          </w:p>
        </w:tc>
        <w:tc>
          <w:tcPr>
            <w:tcW w:w="614"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3,440</w:t>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1,020</w:t>
            </w:r>
          </w:p>
        </w:tc>
        <w:tc>
          <w:tcPr>
            <w:tcW w:w="614" w:type="dxa"/>
            <w:tcBorders>
              <w:top w:val="single" w:sz="2"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33</w:t>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Apr</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3,341</w:t>
            </w:r>
          </w:p>
        </w:tc>
        <w:tc>
          <w:tcPr>
            <w:tcW w:w="614" w:type="dxa"/>
            <w:tcBorders>
              <w:top w:val="single" w:sz="6" w:space="0" w:color="000000"/>
              <w:start w:val="single" w:sz="2" w:space="0" w:color="000000"/>
              <w:bottom w:val="single" w:sz="2"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3,308</w:t>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1,138</w:t>
            </w:r>
          </w:p>
        </w:tc>
        <w:tc>
          <w:tcPr>
            <w:tcW w:w="614" w:type="dxa"/>
            <w:tcBorders>
              <w:top w:val="single" w:sz="2"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56</w:t>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May</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3,601</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1,305</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Jun</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3,071</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1,020</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Jul</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2,819</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873</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Aug</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2,646</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807</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Sep</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2,855</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820</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Oct</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2,678</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835</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Nov</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3,479</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750</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top w:val="single" w:sz="6" w:space="0" w:color="000000"/>
              <w:start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Dec</w:t>
            </w:r>
          </w:p>
        </w:tc>
        <w:tc>
          <w:tcPr>
            <w:tcW w:w="2081" w:type="dxa"/>
            <w:tcBorders>
              <w:top w:val="single" w:sz="6" w:space="0" w:color="000000"/>
              <w:start w:val="single" w:sz="6" w:space="0" w:color="000000"/>
              <w:bottom w:val="single" w:sz="2"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TTC (MW)</w:t>
            </w:r>
          </w:p>
        </w:tc>
        <w:tc>
          <w:tcPr>
            <w:tcW w:w="615" w:type="dxa"/>
            <w:tcBorders>
              <w:top w:val="single" w:sz="6" w:space="0" w:color="000000"/>
              <w:start w:val="single" w:sz="6" w:space="0" w:color="000000"/>
              <w:bottom w:val="single" w:sz="2"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3,277</w:t>
            </w:r>
          </w:p>
        </w:tc>
        <w:tc>
          <w:tcPr>
            <w:tcW w:w="614" w:type="dxa"/>
            <w:tcBorders>
              <w:top w:val="single" w:sz="6" w:space="0" w:color="000000"/>
              <w:start w:val="single" w:sz="2" w:space="0" w:color="000000"/>
              <w:bottom w:val="single" w:sz="2"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1010" w:type="dxa"/>
            <w:tcBorders>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2081" w:type="dxa"/>
            <w:tcBorders>
              <w:top w:val="single" w:sz="2" w:space="0" w:color="000000"/>
              <w:start w:val="single" w:sz="6" w:space="0" w:color="000000"/>
              <w:bottom w:val="single" w:sz="6" w:space="0" w:color="000000"/>
              <w:end w:val="single" w:sz="6" w:space="0" w:color="000000"/>
            </w:tcBorders>
          </w:tcPr>
          <w:p>
            <w:pPr>
              <w:pStyle w:val="Normal"/>
              <w:rPr>
                <w:rFonts w:ascii="Arial" w:hAnsi="Arial" w:cs="Arial"/>
                <w:color w:val="000000"/>
                <w:lang w:eastAsia="en-US"/>
              </w:rPr>
            </w:pPr>
            <w:r>
              <w:rPr>
                <w:rFonts w:cs="Arial" w:ascii="Arial" w:hAnsi="Arial"/>
                <w:color w:val="000000"/>
                <w:lang w:eastAsia="en-US"/>
              </w:rPr>
              <w:t>Average of ATC (MW)</w:t>
            </w:r>
          </w:p>
        </w:tc>
        <w:tc>
          <w:tcPr>
            <w:tcW w:w="615" w:type="dxa"/>
            <w:tcBorders>
              <w:top w:val="single" w:sz="2"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543</w:t>
            </w:r>
          </w:p>
        </w:tc>
        <w:tc>
          <w:tcPr>
            <w:tcW w:w="614" w:type="dxa"/>
            <w:tcBorders>
              <w:top w:val="single" w:sz="2" w:space="0" w:color="000000"/>
              <w:start w:val="single" w:sz="2"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r>
      <w:tr>
        <w:trPr>
          <w:trHeight w:val="247" w:hRule="atLeast"/>
        </w:trPr>
        <w:tc>
          <w:tcPr>
            <w:tcW w:w="3091"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Total Average of TTC (MW)</w:t>
            </w:r>
          </w:p>
        </w:tc>
        <w:tc>
          <w:tcPr>
            <w:tcW w:w="0" w:type="dxa"/>
            <w:vMerge w:val="continue"/>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15" w:type="dxa"/>
            <w:tcBorders>
              <w:top w:val="single" w:sz="6"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3,173</w:t>
            </w:r>
          </w:p>
        </w:tc>
        <w:tc>
          <w:tcPr>
            <w:tcW w:w="614" w:type="dxa"/>
            <w:tcBorders>
              <w:top w:val="single" w:sz="6"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3,540</w:t>
            </w:r>
          </w:p>
        </w:tc>
      </w:tr>
      <w:tr>
        <w:trPr>
          <w:trHeight w:val="247" w:hRule="atLeast"/>
        </w:trPr>
        <w:tc>
          <w:tcPr>
            <w:tcW w:w="3091" w:type="dxa"/>
            <w:gridSpan w:val="2"/>
            <w:tcBorders>
              <w:top w:val="single" w:sz="6" w:space="0" w:color="000000"/>
              <w:start w:val="single" w:sz="6" w:space="0" w:color="000000"/>
              <w:bottom w:val="single" w:sz="6" w:space="0" w:color="000000"/>
            </w:tcBorders>
          </w:tcPr>
          <w:p>
            <w:pPr>
              <w:pStyle w:val="Normal"/>
              <w:rPr>
                <w:rFonts w:ascii="Arial" w:hAnsi="Arial" w:cs="Arial"/>
                <w:color w:val="000000"/>
                <w:lang w:eastAsia="en-US"/>
              </w:rPr>
            </w:pPr>
            <w:r>
              <w:rPr>
                <w:rFonts w:cs="Arial" w:ascii="Arial" w:hAnsi="Arial"/>
                <w:color w:val="000000"/>
                <w:lang w:eastAsia="en-US"/>
              </w:rPr>
              <w:t>Total Average of ATC (MW)</w:t>
            </w:r>
          </w:p>
        </w:tc>
        <w:tc>
          <w:tcPr>
            <w:tcW w:w="0" w:type="dxa"/>
            <w:vMerge w:val="continue"/>
            <w:tcBorders>
              <w:top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615" w:type="dxa"/>
            <w:tcBorders>
              <w:top w:val="single" w:sz="6" w:space="0" w:color="000000"/>
              <w:start w:val="single" w:sz="6" w:space="0" w:color="000000"/>
              <w:bottom w:val="single" w:sz="6" w:space="0" w:color="000000"/>
              <w:end w:val="single" w:sz="2" w:space="0" w:color="000000"/>
            </w:tcBorders>
          </w:tcPr>
          <w:p>
            <w:pPr>
              <w:pStyle w:val="Normal"/>
              <w:jc w:val="end"/>
              <w:rPr>
                <w:rFonts w:ascii="Arial" w:hAnsi="Arial" w:cs="Arial"/>
                <w:color w:val="000000"/>
                <w:lang w:eastAsia="en-US"/>
              </w:rPr>
            </w:pPr>
            <w:r>
              <w:rPr>
                <w:rFonts w:cs="Arial" w:ascii="Arial" w:hAnsi="Arial"/>
                <w:color w:val="000000"/>
                <w:lang w:eastAsia="en-US"/>
              </w:rPr>
              <w:t>889</w:t>
            </w:r>
          </w:p>
        </w:tc>
        <w:tc>
          <w:tcPr>
            <w:tcW w:w="614" w:type="dxa"/>
            <w:tcBorders>
              <w:top w:val="single" w:sz="6" w:space="0" w:color="000000"/>
              <w:start w:val="single" w:sz="2" w:space="0" w:color="000000"/>
              <w:bottom w:val="single" w:sz="6" w:space="0" w:color="000000"/>
              <w:end w:val="single" w:sz="6" w:space="0" w:color="000000"/>
            </w:tcBorders>
          </w:tcPr>
          <w:p>
            <w:pPr>
              <w:pStyle w:val="Normal"/>
              <w:jc w:val="end"/>
              <w:rPr>
                <w:rFonts w:ascii="Arial" w:hAnsi="Arial" w:cs="Arial"/>
                <w:color w:val="000000"/>
                <w:lang w:eastAsia="en-US"/>
              </w:rPr>
            </w:pPr>
            <w:r>
              <w:rPr>
                <w:rFonts w:cs="Arial" w:ascii="Arial" w:hAnsi="Arial"/>
                <w:color w:val="000000"/>
                <w:lang w:eastAsia="en-US"/>
              </w:rPr>
              <w:t>36</w:t>
            </w:r>
          </w:p>
        </w:tc>
      </w:tr>
    </w:tbl>
    <w:p>
      <w:pPr>
        <w:pStyle w:val="Normal"/>
        <w:rPr/>
      </w:pPr>
      <w:r>
        <w:rPr/>
        <w:t>ATC in this table represents the amount of ISO transmission rights allocated “to the market” at COB in a South-to-North direction.  It is the amount of transmission used in the ISO’s congestion management process.  TTC is the total physical transfer capability independent of contract quantity.</w:t>
      </w:r>
    </w:p>
    <w:p>
      <w:pPr>
        <w:pStyle w:val="Normal"/>
        <w:rPr/>
      </w:pPr>
      <w:r>
        <w:rPr/>
      </w:r>
    </w:p>
    <w:p>
      <w:pPr>
        <w:pStyle w:val="Normal"/>
        <w:rPr/>
      </w:pPr>
      <w:r>
        <w:rPr/>
        <w:t>Notice in 2000 the average TTC is approximately 3,200 MW and the average ATC is approximately 800 MW.  Even in December 2000, the ATC is 543 MW.  However, very abruptly in January 2001, the ATC drops to 36 MW, although the TTC remains relatively unchanged.</w:t>
      </w:r>
    </w:p>
    <w:p>
      <w:pPr>
        <w:pStyle w:val="Normal"/>
        <w:rPr/>
      </w:pPr>
      <w:r>
        <w:rPr/>
      </w:r>
    </w:p>
    <w:p>
      <w:pPr>
        <w:pStyle w:val="Normal"/>
        <w:rPr/>
      </w:pPr>
      <w:r>
        <w:rPr/>
        <w:t>On April 3, Enron operations personnel asked CAISO operations personnel what was the reason for this dramatic drop in ATC, even though TTC remained unchanged.  The CAISO informed Enron that ATC was calculated by taking TTC, less Existing Transmission Contracts, less a Capacity Benefit Margin.  The term “Capacity Benefit Margin” is not a defined term in the ISO Tariff, it is a defined term in the NERC Operating Manual.  Within the Manual, Capacity Benefit Margin is defined as the amount of TTC reserved by load serving entities to ensure access to generation from interconnected systems to meet generation reliability requirements.</w:t>
        <w:br/>
        <w:br/>
        <w:t xml:space="preserve">It is very important to realize that </w:t>
      </w:r>
      <w:r>
        <w:rPr>
          <w:color w:val="000000"/>
          <w:lang w:eastAsia="en-US"/>
        </w:rPr>
        <w:t xml:space="preserve">Capacity Benefit Margin was put in the ATC standard to allow a party to recognize the use of interconnections to reduce the amount of reserve a system must carry internally.  In this instance, the ISO could use the CBM to restrict the amount of ATC it released to the market at COB in a </w:t>
      </w:r>
      <w:r>
        <w:rPr>
          <w:b/>
          <w:color w:val="000000"/>
          <w:lang w:eastAsia="en-US"/>
        </w:rPr>
        <w:t>NORTH to SOUTH</w:t>
      </w:r>
      <w:r>
        <w:rPr>
          <w:color w:val="000000"/>
          <w:lang w:eastAsia="en-US"/>
        </w:rPr>
        <w:t xml:space="preserve"> direction (import), NOT South</w:t>
      </w:r>
      <w:r>
        <w:rPr/>
        <w:t xml:space="preserve"> to North (export).  In no way could CBM be used to deny exports or curtail wheel-throughs.  To do so is contrary to standard utility practice, and totally outside the bounds of Good Utility Practice.</w:t>
      </w:r>
    </w:p>
    <w:p>
      <w:pPr>
        <w:pStyle w:val="Normal"/>
        <w:rPr/>
      </w:pPr>
      <w:r>
        <w:rPr/>
      </w:r>
    </w:p>
    <w:p>
      <w:pPr>
        <w:pStyle w:val="Normal"/>
        <w:rPr/>
      </w:pPr>
      <w:r>
        <w:rPr/>
        <w:t>What is the result of this?  First, it has artificially increased the price differential between the Northwest and California.  In affect, it has raised prices in the Northwest.  Second, it sets a very dangerous precedent.  Should any RTO, ISO, or existing control area have the ability to unilaterally interpret and define utility standards that conflict with standard industry practice and Good Utility Practice?  The CAISO would have to answer yes.  Should any RTO, ISO, or existing control area have the ability to interpret reliability criteria in order to economically benefit one group of users at the expense of others?  The CAISO would have to answer yes.  Third, this policy actually increases the risk of blackouts in California because it undermines the very practice that keeps the lights on in California; the unfettered wheeling of energy throughout the WSCC.  I ask this question:  What if BPA were to adopt a similar policy and restricted exports from the Northwest and Canada to California?</w:t>
        <w:br/>
      </w:r>
    </w:p>
    <w:p>
      <w:pPr>
        <w:pStyle w:val="Normal"/>
        <w:numPr>
          <w:ilvl w:val="0"/>
          <w:numId w:val="1"/>
        </w:numPr>
        <w:rPr/>
      </w:pPr>
      <w:r>
        <w:rPr/>
        <w:t>Complaint #2:  As additional support for their policy, the ISO claims it has the right to restrict and curtail exports in order to restrict “Megawatt Laundering”.  The ISO claims that generators and marketers export power from California, only to sell back to the ISO later at a higher price.  The ISO incorrectly characterizes legitimate transactions as some type of hoarding or withholding of energy.  This is absolutely incorrect.  As physical power flows according to the laws of physics, contract power flows according to price.  The act of buying or generating power in one area, wheeling it to a different area, and then later selling that energy some place else, including the place of origin, is a common business practice and underlies the framework of interconnected utility commercial transactions.</w:t>
        <w:br/>
        <w:br/>
        <w:t>Finally, the ISO using “megawatt laundering” as an excuse to curtail and deny ALL exports is ludicrous.  Many transactions can originate in California and “sink” outside California, with no corresponding sale back to California.  A generator can have load outside of California.  A municipal utility can have a long-term contract, perhaps a capacity exchange agreement, that has a sink outside of California.  So even if you assume “megawatt laundering” is something different than the appropriate behavior of low-cost power flowing to a higher price zone, it is a very simple matter for the ISO to separate the export-and-sale-back transactions from those transactions with a clear external “sink”.  How would the ISO do this?  Examine scheduling tags.</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2001-04-04T20:02:00Z</dcterms:created>
  <dc:creator>scranda</dc:creator>
  <dc:description/>
  <dc:language>en-CA</dc:language>
  <cp:lastModifiedBy>scranda</cp:lastModifiedBy>
  <dcterms:modified xsi:type="dcterms:W3CDTF">2001-04-04T22:02:00Z</dcterms:modified>
  <cp:revision>7</cp:revision>
  <dc:subject/>
  <dc:title>To:</dc:title>
</cp:coreProperties>
</file>