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November 19, 2001</w:t>
      </w:r>
    </w:p>
    <w:p>
      <w:pPr>
        <w:pStyle w:val="Normal"/>
        <w:rPr/>
      </w:pPr>
      <w:r>
        <w:rPr/>
      </w:r>
    </w:p>
    <w:p>
      <w:pPr>
        <w:pStyle w:val="Normal"/>
        <w:rPr/>
      </w:pPr>
      <w:r>
        <w:rPr/>
      </w:r>
    </w:p>
    <w:p>
      <w:pPr>
        <w:pStyle w:val="Normal"/>
        <w:rPr/>
      </w:pPr>
      <w:r>
        <w:rPr/>
        <w:t xml:space="preserve">Kevin Coughlan, IMC Program Manager </w:t>
      </w:r>
    </w:p>
    <w:p>
      <w:pPr>
        <w:pStyle w:val="Normal"/>
        <w:rPr/>
      </w:pPr>
      <w:r>
        <w:rPr/>
        <w:t>Energy Division</w:t>
      </w:r>
    </w:p>
    <w:p>
      <w:pPr>
        <w:pStyle w:val="Normal"/>
        <w:rPr/>
      </w:pP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ind w:hanging="720" w:start="720" w:end="0"/>
        <w:rPr/>
      </w:pPr>
      <w:r>
        <w:rPr/>
        <w:t>Re:</w:t>
        <w:tab/>
        <w:t>Southern California Advice Letter 1586-E (Ratemaking Necessary To Implement October 2, 2001 Settlement Between The Commission and SCE)</w:t>
      </w:r>
    </w:p>
    <w:p>
      <w:pPr>
        <w:pStyle w:val="Normal"/>
        <w:ind w:hanging="720" w:start="720" w:end="0"/>
        <w:rPr/>
      </w:pPr>
      <w:r>
        <w:rPr/>
      </w:r>
    </w:p>
    <w:p>
      <w:pPr>
        <w:pStyle w:val="Normal"/>
        <w:ind w:hanging="720" w:start="720" w:end="0"/>
        <w:rPr/>
      </w:pPr>
      <w:r>
        <w:rPr/>
        <w:t>Dear Mr. Coughlan:</w:t>
      </w:r>
    </w:p>
    <w:p>
      <w:pPr>
        <w:pStyle w:val="Normal"/>
        <w:ind w:hanging="720" w:start="720" w:end="0"/>
        <w:rPr/>
      </w:pPr>
      <w:r>
        <w:rPr/>
      </w:r>
    </w:p>
    <w:p>
      <w:pPr>
        <w:pStyle w:val="Normal"/>
        <w:rPr/>
      </w:pPr>
      <w:r>
        <w:rPr/>
        <w:t xml:space="preserve">On November 14, 2001, Southern California Edison Company (“Edison” or “SCE”) submitted Advice Letter 1586-E, the vehicle by which the utility seeks to implement its October 2, 2001 Settlement Agreement with the Commission.  The Commission has long recognized that the advice letter process is an inappropriate procedural vehicle for matters of such import.  The Utility Reform Network (TURN) urges the Commission to reach the same conclusion here, and direct Edison to re-submit its implementation proposal in a more appropriate vehicle, either in the Rate Stabilization Plan proceeding (A.00-11-038) or in a separate application.  In addition, parties must be provided sufficient time to carefully review and respond to Edison’s proposals for implementation of the Settlement Agreement.  The two week period Edison offers is grossly inadequate.  </w:t>
      </w:r>
    </w:p>
    <w:p>
      <w:pPr>
        <w:pStyle w:val="Normal"/>
        <w:rPr/>
      </w:pPr>
      <w:r>
        <w:rPr/>
      </w:r>
    </w:p>
    <w:p>
      <w:pPr>
        <w:pStyle w:val="Normal"/>
        <w:rPr/>
      </w:pPr>
      <w:r>
        <w:rPr/>
        <w:t xml:space="preserve">The Commission should treat this advice letter in a manner consistent with its treatment of the advice letters that Edison, along with the other major electric utilities, submitted as the “cost recovery plan” called for in Section 368 of the Public Utilities Code.  The Commission rejected that approach, and instead directed the utilities to submit their cost recovery plans as formal pleadings in the restructuring rulemaking and investigation docket (R.94-04-031/I.94-04-031).  Other parties had an opportunity to review the plans and comment thereon, and the Commission’s final decision modified the plans in ways that reflected at least some of those comments.  </w:t>
      </w:r>
    </w:p>
    <w:p>
      <w:pPr>
        <w:pStyle w:val="Normal"/>
        <w:rPr/>
      </w:pPr>
      <w:r>
        <w:rPr/>
      </w:r>
    </w:p>
    <w:p>
      <w:pPr>
        <w:sectPr>
          <w:type w:val="nextPage"/>
          <w:pgSz w:w="12240" w:h="15840"/>
          <w:pgMar w:left="1440" w:right="1440" w:gutter="0" w:header="0" w:top="2880" w:footer="0" w:bottom="1440"/>
          <w:pgNumType w:fmt="decimal"/>
          <w:formProt w:val="false"/>
          <w:textDirection w:val="lrTb"/>
          <w:docGrid w:type="default" w:linePitch="360" w:charSpace="0"/>
        </w:sectPr>
        <w:pStyle w:val="Normal"/>
        <w:rPr/>
      </w:pPr>
      <w:r>
        <w:rPr/>
        <w:t xml:space="preserve">Implementing the “settlement” through an advice letter would be a far greater abuse of process than would have occurred had the Commission allowed the utilities to implement their Section 368 cost recovery plans as they originally proposed.  Most obviously, the volume of materials that make up this advice filing ensures that meaningful review will not be achieved during the twenty-day period provided in General Order 96-A.  The text of the advice letter itself runs twenty-three pages, and is followed by the twenty-five page settlement agreement that Edison </w:t>
      </w:r>
    </w:p>
    <w:p>
      <w:pPr>
        <w:pStyle w:val="Normal"/>
        <w:rPr/>
      </w:pPr>
      <w:r>
        <w:rPr/>
        <w:t>Kevin Coughlan</w:t>
      </w:r>
    </w:p>
    <w:p>
      <w:pPr>
        <w:pStyle w:val="Normal"/>
        <w:rPr/>
      </w:pPr>
      <w:r>
        <w:rPr/>
        <w:t>Re:  SCE A.L. 1586-E</w:t>
      </w:r>
    </w:p>
    <w:p>
      <w:pPr>
        <w:pStyle w:val="Normal"/>
        <w:rPr/>
      </w:pPr>
      <w:r>
        <w:rPr/>
        <w:t>November 19, 2001</w:t>
      </w:r>
    </w:p>
    <w:p>
      <w:pPr>
        <w:pStyle w:val="Normal"/>
        <w:rPr/>
      </w:pPr>
      <w:r>
        <w:rPr/>
        <w:t>Page two</w:t>
      </w:r>
    </w:p>
    <w:p>
      <w:pPr>
        <w:pStyle w:val="Normal"/>
        <w:rPr/>
      </w:pPr>
      <w:r>
        <w:rPr/>
      </w:r>
    </w:p>
    <w:p>
      <w:pPr>
        <w:pStyle w:val="Normal"/>
        <w:rPr/>
      </w:pPr>
      <w:r>
        <w:rPr/>
      </w:r>
    </w:p>
    <w:p>
      <w:pPr>
        <w:pStyle w:val="Normal"/>
        <w:rPr/>
      </w:pPr>
      <w:r>
        <w:rPr/>
        <w:t xml:space="preserve">seeks to implement.  There then appears an eleven-page table cataloguing the impact that the settlement would have on the various memorandum and balancing accounts Edison maintains.  And this is just the first of the four electronic files required to transmit the proposed “advice filing.”  Each of the three files that follow has 77 pages of tariffs impacted by the settlement.  </w:t>
      </w:r>
    </w:p>
    <w:p>
      <w:pPr>
        <w:pStyle w:val="Normal"/>
        <w:rPr/>
      </w:pPr>
      <w:r>
        <w:rPr/>
      </w:r>
    </w:p>
    <w:p>
      <w:pPr>
        <w:pStyle w:val="Normal"/>
        <w:rPr/>
      </w:pPr>
      <w:r>
        <w:rPr/>
        <w:t>Furthermore, there are several critical differences between the underlying tasks.  With AB 1890, the Commission was implementing a statute that had been the subject of at least some amount of public hearings at which a wide variety of interested parties had an opportunity to present their case to the State Legislature before the statute was enacted.  This settlement, of course, is the product of discussions conducted exclusively between the Commission and Edison.  The implementation will be the first action taken through a public forum with regard to the settlement.  As such, it should be subject to more opportunity for public input, not less.</w:t>
      </w:r>
    </w:p>
    <w:p>
      <w:pPr>
        <w:pStyle w:val="Normal"/>
        <w:rPr/>
      </w:pPr>
      <w:r>
        <w:rPr/>
      </w:r>
    </w:p>
    <w:p>
      <w:pPr>
        <w:pStyle w:val="Normal"/>
        <w:rPr/>
      </w:pPr>
      <w:r>
        <w:rPr/>
        <w:t xml:space="preserve">In addition, the rate impact of implementing the settlement is commensurate with the rate impact of implementing AB 1890.  In each case, then-existing rates were continued in effect despite conditions that would, under traditional ratemaking practices, result in rate decreases.  While the rate freeze under AB 1890 was of a longer duration on the face of the document, the continuation of current rates under the settlement is more troubling in several ways.  The settlement “rate freeze” will continue until Edison collects all of its “procurement related obligations” as defined in the settlement, and  is only a rate freeze until the Commission determines that a rate increase is necessary to assure such full recovery.  </w:t>
      </w:r>
    </w:p>
    <w:p>
      <w:pPr>
        <w:pStyle w:val="Normal"/>
        <w:rPr/>
      </w:pPr>
      <w:r>
        <w:rPr/>
      </w:r>
    </w:p>
    <w:p>
      <w:pPr>
        <w:pStyle w:val="Normal"/>
        <w:rPr/>
      </w:pPr>
      <w:r>
        <w:rPr/>
        <w:t>In short, the Commission must, at a minimum, provide parties the same or equivalent procedural opportunities for commenting on Edison’s proposal to implement the settlement.</w:t>
      </w:r>
    </w:p>
    <w:p>
      <w:pPr>
        <w:pStyle w:val="Normal"/>
        <w:rPr/>
      </w:pPr>
      <w:r>
        <w:rPr/>
      </w:r>
    </w:p>
    <w:p>
      <w:pPr>
        <w:pStyle w:val="Normal"/>
        <w:rPr/>
      </w:pPr>
      <w:r>
        <w:rPr/>
        <w:t xml:space="preserve">Whatever the Commission’s determination on the question of the proper procedure and vehicle for submitting this implementation plan, it must provide sufficient time for parties to perform a meaningful review of Edison’s proposal.  The utility proposes a two-week review period (which is actually less than that, given that the period includes the Thanksgiving holiday).  This is wholly inadequate.  As noted earlier, this is a lengthy document with extensive attachments.  Interested parties are entitled to a meaningful opportunity to review the document and its attachments before being asked to comment thereon.  </w:t>
      </w:r>
    </w:p>
    <w:p>
      <w:pPr>
        <w:pStyle w:val="Normal"/>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pPr>
      <w:r>
        <w:rPr/>
        <w:t>For these reasons, TURN urges the Commission to reject this advice letter filing and to instead direct Edison to submit its implementation proposal through a more formal filing, either in the RSP proceeding or in a separate application.  TURN also urges that the Commission establish a date for responses  to Edison’s submission that provides interested parties no less than three weeks from the date of that re-submission to serve and file comments on Edison’s implementation proposal.</w:t>
      </w:r>
    </w:p>
    <w:p>
      <w:pPr>
        <w:pStyle w:val="Normal"/>
        <w:rPr/>
      </w:pPr>
      <w:r>
        <w:rPr/>
        <w:t>Kevin Coughlan</w:t>
      </w:r>
    </w:p>
    <w:p>
      <w:pPr>
        <w:pStyle w:val="Normal"/>
        <w:rPr/>
      </w:pPr>
      <w:r>
        <w:rPr/>
        <w:t>Re:  SCE A.L. 1586-E</w:t>
      </w:r>
    </w:p>
    <w:p>
      <w:pPr>
        <w:pStyle w:val="Normal"/>
        <w:rPr/>
      </w:pPr>
      <w:r>
        <w:rPr/>
        <w:t>November 19, 2001</w:t>
      </w:r>
    </w:p>
    <w:p>
      <w:pPr>
        <w:pStyle w:val="Normal"/>
        <w:rPr/>
      </w:pPr>
      <w:r>
        <w:rPr/>
        <w:t xml:space="preserve">Page three </w:t>
      </w:r>
    </w:p>
    <w:p>
      <w:pPr>
        <w:pStyle w:val="Normal"/>
        <w:rPr/>
      </w:pPr>
      <w:r>
        <w:rPr/>
      </w:r>
    </w:p>
    <w:p>
      <w:pPr>
        <w:pStyle w:val="Normal"/>
        <w:rPr/>
      </w:pPr>
      <w:r>
        <w:rPr/>
      </w:r>
    </w:p>
    <w:p>
      <w:pPr>
        <w:pStyle w:val="Normal"/>
        <w:rPr/>
      </w:pPr>
      <w:r>
        <w:rPr/>
        <w:t>Thank you for your attention to this matter.  If you have any questions about this letter, please do not hesitate to contact me.</w:t>
      </w:r>
    </w:p>
    <w:p>
      <w:pPr>
        <w:pStyle w:val="Normal"/>
        <w:rPr/>
      </w:pPr>
      <w:r>
        <w:rPr/>
      </w:r>
    </w:p>
    <w:p>
      <w:pPr>
        <w:pStyle w:val="Normal"/>
        <w:rPr/>
      </w:pPr>
      <w:r>
        <w:rPr/>
        <w:t>Yours truly,</w:t>
      </w:r>
    </w:p>
    <w:p>
      <w:pPr>
        <w:pStyle w:val="Normal"/>
        <w:rPr/>
      </w:pPr>
      <w:r>
        <w:rPr/>
      </w:r>
    </w:p>
    <w:p>
      <w:pPr>
        <w:pStyle w:val="Normal"/>
        <w:rPr/>
      </w:pPr>
      <w:r>
        <w:rPr/>
      </w:r>
    </w:p>
    <w:p>
      <w:pPr>
        <w:pStyle w:val="Normal"/>
        <w:rPr/>
      </w:pPr>
      <w:r>
        <w:rPr/>
      </w:r>
    </w:p>
    <w:p>
      <w:pPr>
        <w:pStyle w:val="Normal"/>
        <w:rPr/>
      </w:pPr>
      <w:r>
        <w:rPr/>
      </w:r>
    </w:p>
    <w:p>
      <w:pPr>
        <w:pStyle w:val="Normal"/>
        <w:rPr/>
      </w:pPr>
      <w:r>
        <w:rPr/>
        <w:t>Robert Finkelstein</w:t>
      </w:r>
    </w:p>
    <w:p>
      <w:pPr>
        <w:pStyle w:val="Normal"/>
        <w:rPr/>
      </w:pPr>
      <w:r>
        <w:rPr/>
        <w:t>Supervising Attorney</w:t>
      </w:r>
    </w:p>
    <w:p>
      <w:pPr>
        <w:pStyle w:val="Normal"/>
        <w:rPr/>
      </w:pPr>
      <w:r>
        <w:rPr/>
      </w:r>
    </w:p>
    <w:p>
      <w:pPr>
        <w:pStyle w:val="Normal"/>
        <w:rPr/>
      </w:pPr>
      <w:r>
        <w:rPr/>
        <w:t>cc:</w:t>
        <w:tab/>
        <w:t xml:space="preserve">Commissioner Loretta Lynch, President </w:t>
      </w:r>
    </w:p>
    <w:p>
      <w:pPr>
        <w:pStyle w:val="Normal"/>
        <w:rPr/>
      </w:pPr>
      <w:r>
        <w:rPr/>
        <w:tab/>
        <w:t>Commissioner Henry Duque</w:t>
      </w:r>
    </w:p>
    <w:p>
      <w:pPr>
        <w:pStyle w:val="Normal"/>
        <w:ind w:firstLine="720" w:end="0"/>
        <w:rPr/>
      </w:pPr>
      <w:r>
        <w:rPr/>
        <w:t>Commissioner Richard Bilas</w:t>
      </w:r>
    </w:p>
    <w:p>
      <w:pPr>
        <w:pStyle w:val="Normal"/>
        <w:ind w:firstLine="720" w:end="0"/>
        <w:rPr/>
      </w:pPr>
      <w:r>
        <w:rPr/>
        <w:t>Commissioner Carl Wood</w:t>
      </w:r>
    </w:p>
    <w:p>
      <w:pPr>
        <w:pStyle w:val="Normal"/>
        <w:ind w:firstLine="720" w:end="0"/>
        <w:rPr/>
      </w:pPr>
      <w:r>
        <w:rPr/>
        <w:t>Commissioner Geoffrey Brown</w:t>
      </w:r>
    </w:p>
    <w:p>
      <w:pPr>
        <w:pStyle w:val="Normal"/>
        <w:rPr/>
      </w:pPr>
      <w:r>
        <w:rPr/>
        <w:tab/>
        <w:t>Paul Clanon, Director, Energy Division</w:t>
      </w:r>
    </w:p>
    <w:p>
      <w:pPr>
        <w:pStyle w:val="Normal"/>
        <w:rPr/>
      </w:pPr>
      <w:r>
        <w:rPr/>
        <w:tab/>
        <w:t>Akbar Jazayeri, SCE</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504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480"/>
        </w:tabs>
        <w:ind w:start="5760" w:hanging="0"/>
      </w:pPr>
    </w:lvl>
  </w:abstractNum>
  <w:num w:numId="1">
    <w:abstractNumId w:val="1"/>
  </w:num>
</w:numbering>
</file>

<file path=word/settings.xml><?xml version="1.0" encoding="utf-8"?>
<w:settings xmlns:w="http://schemas.openxmlformats.org/wordprocessingml/2006/main">
  <w:zoom w:percent="89"/>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120" w:after="240"/>
      <w:outlineLvl w:val="0"/>
    </w:pPr>
    <w:rPr>
      <w:b/>
      <w:szCs w:val="20"/>
    </w:rPr>
  </w:style>
  <w:style w:type="paragraph" w:styleId="Heading2">
    <w:name w:val="heading 2"/>
    <w:basedOn w:val="Normal"/>
    <w:next w:val="Normal"/>
    <w:qFormat/>
    <w:pPr>
      <w:keepNext w:val="true"/>
      <w:numPr>
        <w:ilvl w:val="1"/>
        <w:numId w:val="1"/>
      </w:numPr>
      <w:spacing w:before="240" w:after="60"/>
      <w:outlineLvl w:val="1"/>
    </w:pPr>
    <w:rPr>
      <w:rFonts w:cs="Arial"/>
      <w:b/>
      <w:bCs/>
      <w:iCs/>
      <w:szCs w:val="28"/>
    </w:rPr>
  </w:style>
  <w:style w:type="paragraph" w:styleId="Heading3">
    <w:name w:val="heading 3"/>
    <w:basedOn w:val="Normal"/>
    <w:next w:val="Pleading"/>
    <w:qFormat/>
    <w:pPr>
      <w:keepNext w:val="true"/>
      <w:numPr>
        <w:ilvl w:val="2"/>
        <w:numId w:val="1"/>
      </w:numPr>
      <w:spacing w:before="0" w:after="240"/>
      <w:outlineLvl w:val="2"/>
    </w:pPr>
    <w:rPr>
      <w:b/>
      <w:szCs w:val="20"/>
    </w:rPr>
  </w:style>
  <w:style w:type="paragraph" w:styleId="Heading4">
    <w:name w:val="heading 4"/>
    <w:basedOn w:val="Normal"/>
    <w:next w:val="Normal"/>
    <w:qFormat/>
    <w:pPr>
      <w:keepNext w:val="true"/>
      <w:numPr>
        <w:ilvl w:val="3"/>
        <w:numId w:val="1"/>
      </w:numPr>
      <w:spacing w:before="240" w:after="60"/>
      <w:outlineLvl w:val="3"/>
    </w:pPr>
    <w:rPr>
      <w:b/>
      <w:bCs/>
      <w:szCs w:val="28"/>
    </w:rPr>
  </w:style>
  <w:style w:type="character" w:styleId="WW8Num2z0">
    <w:name w:val="WW8Num2z0"/>
    <w:qFormat/>
    <w:rPr>
      <w:b/>
      <w:i w:val="false"/>
      <w:u w:val="none"/>
    </w:rPr>
  </w:style>
  <w:style w:type="character" w:styleId="WW8Num2z1">
    <w:name w:val="WW8Num2z1"/>
    <w:qFormat/>
    <w:rPr>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eading">
    <w:name w:val="Pleading"/>
    <w:basedOn w:val="Normal"/>
    <w:qFormat/>
    <w:pPr>
      <w:spacing w:lineRule="auto" w:line="480"/>
      <w:ind w:firstLine="720" w:start="0" w:end="0"/>
    </w:pPr>
    <w:rPr/>
  </w:style>
  <w:style w:type="paragraph" w:styleId="FootnoteText">
    <w:name w:val="footnote text"/>
    <w:basedOn w:val="Normal"/>
    <w:pPr/>
    <w:rPr>
      <w:sz w:val="22"/>
      <w:szCs w:val="20"/>
    </w:rPr>
  </w:style>
  <w:style w:type="paragraph" w:styleId="TOC1">
    <w:name w:val="toc 1"/>
    <w:basedOn w:val="Heading1"/>
    <w:next w:val="Normal"/>
    <w:pPr>
      <w:keepNext w:val="false"/>
      <w:widowControl/>
      <w:numPr>
        <w:ilvl w:val="0"/>
        <w:numId w:val="0"/>
      </w:numPr>
      <w:spacing w:before="120" w:after="0"/>
      <w:ind w:hanging="720" w:start="720" w:end="720"/>
      <w:outlineLvl w:val="9"/>
    </w:pPr>
    <w:rPr>
      <w:bCs/>
      <w:szCs w:val="24"/>
    </w:rPr>
  </w:style>
  <w:style w:type="paragraph" w:styleId="TOC3">
    <w:name w:val="toc 3"/>
    <w:basedOn w:val="Heading3"/>
    <w:next w:val="Normal"/>
    <w:pPr>
      <w:keepNext w:val="false"/>
      <w:widowControl/>
      <w:numPr>
        <w:ilvl w:val="0"/>
        <w:numId w:val="0"/>
      </w:numPr>
      <w:spacing w:before="120" w:after="0"/>
      <w:ind w:hanging="720" w:start="1195" w:end="864"/>
      <w:outlineLvl w:val="9"/>
    </w:pPr>
    <w:rPr>
      <w:iCs/>
      <w:szCs w:val="24"/>
    </w:rPr>
  </w:style>
  <w:style w:type="paragraph" w:styleId="TOC2">
    <w:name w:val="toc 2"/>
    <w:basedOn w:val="Heading1"/>
    <w:next w:val="Normal"/>
    <w:pPr>
      <w:keepNext w:val="false"/>
      <w:widowControl/>
      <w:numPr>
        <w:ilvl w:val="0"/>
        <w:numId w:val="0"/>
      </w:numPr>
      <w:spacing w:before="120" w:after="0"/>
      <w:ind w:hanging="720" w:start="965" w:end="720"/>
      <w:outlineLvl w:val="9"/>
    </w:pPr>
    <w:rPr>
      <w:szCs w:val="24"/>
    </w:rPr>
  </w:style>
  <w:style w:type="paragraph" w:styleId="TOC4">
    <w:name w:val="toc 4"/>
    <w:basedOn w:val="Heading4"/>
    <w:next w:val="Normal"/>
    <w:pPr>
      <w:keepNext w:val="false"/>
      <w:numPr>
        <w:ilvl w:val="0"/>
        <w:numId w:val="0"/>
      </w:numPr>
      <w:spacing w:before="120" w:after="0"/>
      <w:ind w:hanging="720" w:start="1872" w:end="864"/>
      <w:outlineLvl w:val="9"/>
    </w:pPr>
    <w:rPr>
      <w:bCs w:val="false"/>
      <w:szCs w:val="21"/>
    </w:rPr>
  </w:style>
  <w:style w:type="paragraph" w:styleId="transcriptnotes">
    <w:name w:val="transcript notes"/>
    <w:basedOn w:val="Normal"/>
    <w:qFormat/>
    <w:pPr>
      <w:spacing w:before="0" w:after="240"/>
      <w:ind w:hanging="72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2001-11-19T22:12:00Z</dcterms:created>
  <dc:creator>Default</dc:creator>
  <dc:description/>
  <dc:language>en-CA</dc:language>
  <cp:lastModifiedBy>Default</cp:lastModifiedBy>
  <cp:lastPrinted>2001-11-19T08:59:00Z</cp:lastPrinted>
  <dcterms:modified xsi:type="dcterms:W3CDTF">2001-11-19T22:12:00Z</dcterms:modified>
  <cp:revision>2</cp:revision>
  <dc:subject/>
  <dc:title>November 19, 2001</dc:title>
</cp:coreProperties>
</file>