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drawing>
          <wp:inline distT="0" distB="0" distL="0" distR="0">
            <wp:extent cx="984885"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84885" cy="987425"/>
                    </a:xfrm>
                    <a:prstGeom prst="rect">
                      <a:avLst/>
                    </a:prstGeom>
                    <a:noFill/>
                  </pic:spPr>
                </pic:pic>
              </a:graphicData>
            </a:graphic>
          </wp:inline>
        </w:drawing>
      </w:r>
    </w:p>
    <w:p>
      <w:pPr>
        <w:pStyle w:val="Heading"/>
        <w:jc w:val="end"/>
        <w:rPr>
          <w:sz w:val="20"/>
        </w:rPr>
      </w:pPr>
      <w:r>
        <w:rPr>
          <w:sz w:val="20"/>
        </w:rPr>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Corporate Policy Committee</w:t>
            </w:r>
          </w:p>
        </w:tc>
        <w:tc>
          <w:tcPr>
            <w:tcW w:w="990" w:type="dxa"/>
            <w:tcBorders/>
          </w:tcPr>
          <w:p>
            <w:pPr>
              <w:pStyle w:val="Normal"/>
              <w:snapToGrid w:val="false"/>
              <w:ind w:start="-180" w:end="0"/>
              <w:rPr/>
            </w:pPr>
            <w:r>
              <w:rPr/>
            </w:r>
          </w:p>
        </w:tc>
        <w:tc>
          <w:tcPr>
            <w:tcW w:w="2965" w:type="dxa"/>
            <w:tcBorders/>
          </w:tcPr>
          <w:p>
            <w:pPr>
              <w:pStyle w:val="Heading5"/>
              <w:snapToGrid w:val="false"/>
              <w:ind w:hanging="0" w:start="0"/>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6"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Ken Lay and Jeff Skilling</w:t>
            </w:r>
          </w:p>
        </w:tc>
        <w:tc>
          <w:tcPr>
            <w:tcW w:w="990" w:type="dxa"/>
            <w:tcBorders/>
          </w:tcPr>
          <w:p>
            <w:pPr>
              <w:pStyle w:val="Normal"/>
              <w:snapToGrid w:val="false"/>
              <w:ind w:start="-180" w:end="0"/>
              <w:jc w:val="end"/>
              <w:rPr>
                <w:sz w:val="16"/>
              </w:rPr>
            </w:pPr>
            <w:r>
              <w:rPr>
                <w:sz w:val="16"/>
              </w:rPr>
            </w:r>
          </w:p>
        </w:tc>
        <w:tc>
          <w:tcPr>
            <w:tcW w:w="2965" w:type="dxa"/>
            <w:tcBorders/>
          </w:tcPr>
          <w:p>
            <w:pPr>
              <w:pStyle w:val="Department"/>
              <w:snapToGrid w:val="false"/>
              <w:rPr>
                <w:sz w:val="16"/>
              </w:rPr>
            </w:pPr>
            <w:r>
              <w:rPr>
                <w:sz w:val="16"/>
              </w:rPr>
            </w:r>
            <w:bookmarkStart w:id="0" w:name="From"/>
            <w:bookmarkStart w:id="1" w:name="From"/>
            <w:bookmarkEnd w:id="1"/>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Personal Use of Corporate Aircraft</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t>March 6, 2001</w:t>
            </w:r>
          </w:p>
        </w:tc>
      </w:tr>
    </w:tbl>
    <w:p>
      <w:pPr>
        <w:pStyle w:val="Body"/>
        <w:jc w:val="both"/>
        <w:rPr/>
      </w:pPr>
      <w:r>
        <w:rPr/>
      </w:r>
      <w:bookmarkStart w:id="2" w:name="StartOfMemo"/>
      <w:bookmarkStart w:id="3" w:name="StartOfMemo"/>
      <w:bookmarkEnd w:id="3"/>
    </w:p>
    <w:p>
      <w:pPr>
        <w:pStyle w:val="Body"/>
        <w:jc w:val="both"/>
        <w:rPr/>
      </w:pPr>
      <w:r>
        <w:rPr/>
      </w:r>
    </w:p>
    <w:p>
      <w:pPr>
        <w:pStyle w:val="Body"/>
        <w:jc w:val="both"/>
        <w:rPr/>
      </w:pPr>
      <w:r>
        <w:rPr/>
        <w:tab/>
        <w:t>Corporate aircraft have been available to employees for personal use when those aircraft are not otherwise required for business use.</w:t>
      </w:r>
    </w:p>
    <w:p>
      <w:pPr>
        <w:pStyle w:val="Body"/>
        <w:jc w:val="both"/>
        <w:rPr/>
      </w:pPr>
      <w:r>
        <w:rPr/>
      </w:r>
    </w:p>
    <w:p>
      <w:pPr>
        <w:pStyle w:val="Body"/>
        <w:jc w:val="both"/>
        <w:rPr/>
      </w:pPr>
      <w:r>
        <w:rPr/>
        <w:tab/>
        <w:t>Enron is now reconfiguring and downsizing its corporate fleet from 7 to 5 aircraft.  This will likely be completed during the second quarter.  With the reconfigured fleet, available hours for personal use are expected to be 300-350 hours annually (about 50% fewer hours than current levels).  Consequently, we have revisited personal use of corporate aircraft and will now make those aircraft  available as follows:</w:t>
      </w:r>
    </w:p>
    <w:p>
      <w:pPr>
        <w:pStyle w:val="Body"/>
        <w:jc w:val="both"/>
        <w:rPr/>
      </w:pPr>
      <w:r>
        <w:rPr/>
      </w:r>
    </w:p>
    <w:p>
      <w:pPr>
        <w:pStyle w:val="Body"/>
        <w:numPr>
          <w:ilvl w:val="0"/>
          <w:numId w:val="3"/>
        </w:numPr>
        <w:jc w:val="both"/>
        <w:rPr/>
      </w:pPr>
      <w:r>
        <w:rPr/>
        <w:t xml:space="preserve">Enron Aviation will keep a running estimate of hours available for personal use.  </w:t>
      </w:r>
    </w:p>
    <w:p>
      <w:pPr>
        <w:pStyle w:val="Body"/>
        <w:ind w:start="720" w:end="0"/>
        <w:jc w:val="both"/>
        <w:rPr/>
      </w:pPr>
      <w:r>
        <w:rPr/>
      </w:r>
    </w:p>
    <w:p>
      <w:pPr>
        <w:pStyle w:val="Body"/>
        <w:numPr>
          <w:ilvl w:val="0"/>
          <w:numId w:val="3"/>
        </w:numPr>
        <w:jc w:val="both"/>
        <w:rPr/>
      </w:pPr>
      <w:r>
        <w:rPr/>
        <w:t>Estimated available hours will be allocated among the following 5 groups (20% per group)</w:t>
      </w:r>
    </w:p>
    <w:p>
      <w:pPr>
        <w:pStyle w:val="Body"/>
        <w:numPr>
          <w:ilvl w:val="0"/>
          <w:numId w:val="2"/>
        </w:numPr>
        <w:jc w:val="both"/>
        <w:rPr/>
      </w:pPr>
      <w:r>
        <w:rPr/>
        <w:t>EBS</w:t>
      </w:r>
    </w:p>
    <w:p>
      <w:pPr>
        <w:pStyle w:val="Body"/>
        <w:numPr>
          <w:ilvl w:val="0"/>
          <w:numId w:val="2"/>
        </w:numPr>
        <w:jc w:val="both"/>
        <w:rPr/>
      </w:pPr>
      <w:r>
        <w:rPr/>
        <w:t>ES</w:t>
      </w:r>
    </w:p>
    <w:p>
      <w:pPr>
        <w:pStyle w:val="Body"/>
        <w:numPr>
          <w:ilvl w:val="0"/>
          <w:numId w:val="2"/>
        </w:numPr>
        <w:jc w:val="both"/>
        <w:rPr/>
      </w:pPr>
      <w:r>
        <w:rPr/>
        <w:t>ETS</w:t>
      </w:r>
    </w:p>
    <w:p>
      <w:pPr>
        <w:pStyle w:val="Body"/>
        <w:numPr>
          <w:ilvl w:val="0"/>
          <w:numId w:val="2"/>
        </w:numPr>
        <w:jc w:val="both"/>
        <w:rPr/>
      </w:pPr>
      <w:r>
        <w:rPr/>
        <w:t>EWS</w:t>
      </w:r>
    </w:p>
    <w:p>
      <w:pPr>
        <w:pStyle w:val="Body"/>
        <w:numPr>
          <w:ilvl w:val="0"/>
          <w:numId w:val="2"/>
        </w:numPr>
        <w:jc w:val="both"/>
        <w:rPr/>
      </w:pPr>
      <w:r>
        <w:rPr/>
        <w:t>Corp. and other</w:t>
      </w:r>
    </w:p>
    <w:p>
      <w:pPr>
        <w:pStyle w:val="Body"/>
        <w:ind w:start="1152" w:end="0"/>
        <w:jc w:val="both"/>
        <w:rPr/>
      </w:pPr>
      <w:r>
        <w:rPr/>
      </w:r>
    </w:p>
    <w:p>
      <w:pPr>
        <w:pStyle w:val="Body"/>
        <w:numPr>
          <w:ilvl w:val="0"/>
          <w:numId w:val="3"/>
        </w:numPr>
        <w:jc w:val="both"/>
        <w:rPr/>
      </w:pPr>
      <w:r>
        <w:rPr/>
        <w:t>Usage of the available hours will be determined by the Office of the Chairman of each business unit.  Compliance with company policy and any applicable legal requirements will be maintained.  If there are any questions about these requirements, contact Gary Fitch or Elizabeth Labanowski.</w:t>
      </w:r>
    </w:p>
    <w:p>
      <w:pPr>
        <w:pStyle w:val="Body"/>
        <w:ind w:start="720" w:end="0"/>
        <w:jc w:val="both"/>
        <w:rPr/>
      </w:pPr>
      <w:r>
        <w:rPr/>
      </w:r>
    </w:p>
    <w:p>
      <w:pPr>
        <w:pStyle w:val="Body"/>
        <w:numPr>
          <w:ilvl w:val="0"/>
          <w:numId w:val="3"/>
        </w:numPr>
        <w:jc w:val="both"/>
        <w:rPr/>
      </w:pPr>
      <w:r>
        <w:rPr/>
        <w:t>Personal usage will remain subordinate to business uses and will be available on a first-come first</w:t>
        <w:noBreakHyphen/>
        <w:t>served basis.</w:t>
      </w:r>
    </w:p>
    <w:p>
      <w:pPr>
        <w:pStyle w:val="Body"/>
        <w:jc w:val="both"/>
        <w:rPr/>
      </w:pPr>
      <w:r>
        <w:rPr/>
      </w:r>
    </w:p>
    <w:sectPr>
      <w:headerReference w:type="default" r:id="rId3"/>
      <w:headerReference w:type="first" r:id="rId4"/>
      <w:footerReference w:type="default" r:id="rId5"/>
      <w:footerReference w:type="first" r:id="rId6"/>
      <w:type w:val="nextPage"/>
      <w:pgSz w:w="12240" w:h="15840"/>
      <w:pgMar w:left="1152" w:right="1152" w:gutter="0" w:header="720" w:top="1152"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Heading1"/>
                            <w:rPr/>
                          </w:pPr>
                          <w:r>
                            <w:rPr/>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Heading1"/>
                      <w:rPr/>
                    </w:pPr>
                    <w:r>
                      <w:rPr/>
                    </w:r>
                  </w:p>
                </w:txbxContent>
              </v:textbox>
              <w10:wrap type="square"/>
            </v:rect>
          </w:pict>
        </mc:Fallback>
      </mc:AlternateContent>
    </w:r>
  </w:p>
  <w:p>
    <w:pPr>
      <w:pStyle w:val="Heading1"/>
      <w:rPr/>
    </w:pPr>
    <w:r>
      <w:rPr/>
    </w:r>
    <w:r>
      <mc:AlternateContent>
        <mc:Choice Requires="wps">
          <w:drawing>
            <wp:anchor behindDoc="0" distT="0" distB="0" distL="118745" distR="118745" simplePos="0" locked="0" layoutInCell="0" allowOverlap="1" relativeHeight="4">
              <wp:simplePos x="0" y="0"/>
              <wp:positionH relativeFrom="page">
                <wp:posOffset>2556510</wp:posOffset>
              </wp:positionH>
              <wp:positionV relativeFrom="paragraph">
                <wp:posOffset>-361315</wp:posOffset>
              </wp:positionV>
              <wp:extent cx="3877310" cy="939800"/>
              <wp:effectExtent l="0" t="0" r="0" b="0"/>
              <wp:wrapSquare wrapText="bothSides"/>
              <wp:docPr id="3" name="Frame2"/>
              <a:graphic xmlns:a="http://schemas.openxmlformats.org/drawingml/2006/main">
                <a:graphicData uri="http://schemas.microsoft.com/office/word/2010/wordprocessingShape">
                  <wps:wsp>
                    <wps:cNvSpPr txBox="1"/>
                    <wps:spPr>
                      <a:xfrm>
                        <a:off x="0" y="0"/>
                        <a:ext cx="3877310" cy="939800"/>
                      </a:xfrm>
                      <a:prstGeom prst="rect"/>
                      <a:solidFill>
                        <a:srgbClr val="FFFFFF">
                          <a:alpha val="0"/>
                        </a:srgbClr>
                      </a:solidFill>
                    </wps:spPr>
                    <wps:txbx>
                      <w:txbxContent>
                        <w:p>
                          <w:pPr>
                            <w:pStyle w:val="Heading1"/>
                            <w:rPr/>
                          </w:pPr>
                          <w:r>
                            <w:rPr/>
                          </w:r>
                        </w:p>
                        <w:p>
                          <w:pPr>
                            <w:pStyle w:val="Heading1"/>
                            <w:rPr/>
                          </w:pPr>
                          <w:r>
                            <w:rPr/>
                          </w:r>
                        </w:p>
                        <w:p>
                          <w:pPr>
                            <w:pStyle w:val="Heading1"/>
                            <w:rPr/>
                          </w:pPr>
                          <w:r>
                            <w:rPr/>
                            <w:t>Interoffice</w:t>
                          </w:r>
                          <w:r>
                            <w:rPr>
                              <w:b/>
                              <w:sz w:val="32"/>
                            </w:rPr>
                            <w:t>Memorandum</w:t>
                          </w:r>
                        </w:p>
                      </w:txbxContent>
                    </wps:txbx>
                    <wps:bodyPr anchor="t" lIns="0" tIns="0" rIns="0" bIns="0">
                      <a:noAutofit/>
                    </wps:bodyPr>
                  </wps:wsp>
                </a:graphicData>
              </a:graphic>
            </wp:anchor>
          </w:drawing>
        </mc:Choice>
        <mc:Fallback>
          <w:pict>
            <v:rect fillcolor="#FFFFFF" style="position:absolute;rotation:-0;width:305.3pt;height:74pt;mso-wrap-distance-left:9.35pt;mso-wrap-distance-right:9.35pt;mso-wrap-distance-top:0pt;mso-wrap-distance-bottom:0pt;margin-top:-28.45pt;mso-position-vertical-relative:text;margin-left:201.3pt;mso-position-horizontal-relative:page">
              <v:fill opacity="0f"/>
              <v:textbox inset="0in,0in,0in,0in">
                <w:txbxContent>
                  <w:p>
                    <w:pPr>
                      <w:pStyle w:val="Heading1"/>
                      <w:rPr/>
                    </w:pPr>
                    <w:r>
                      <w:rPr/>
                    </w:r>
                  </w:p>
                  <w:p>
                    <w:pPr>
                      <w:pStyle w:val="Heading1"/>
                      <w:rPr/>
                    </w:pPr>
                    <w:r>
                      <w:rPr/>
                    </w:r>
                  </w:p>
                  <w:p>
                    <w:pPr>
                      <w:pStyle w:val="Heading1"/>
                      <w:rPr/>
                    </w:pPr>
                    <w:r>
                      <w:rPr/>
                      <w:t>Interoffice</w:t>
                    </w:r>
                    <w:r>
                      <w:rPr>
                        <w:b/>
                        <w:sz w:val="32"/>
                      </w:rPr>
                      <w:t>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512"/>
        </w:tabs>
        <w:ind w:start="1512" w:hanging="360"/>
      </w:pPr>
      <w:rPr>
        <w:rFonts w:ascii="Symbol" w:hAnsi="Symbol" w:cs="Symbol" w:hint="default"/>
      </w:rPr>
    </w:lvl>
  </w:abstractNum>
  <w:abstractNum w:abstractNumId="3">
    <w:lvl w:ilvl="0">
      <w:start w:val="1"/>
      <w:numFmt w:val="bullet"/>
      <w:lvlText w:val=""/>
      <w:lvlJc w:val="start"/>
      <w:pPr>
        <w:tabs>
          <w:tab w:val="num" w:pos="1152"/>
        </w:tabs>
        <w:ind w:start="1152" w:hanging="432"/>
      </w:pPr>
      <w:rPr>
        <w:rFonts w:ascii="Symbol" w:hAnsi="Symbol" w:cs="Symbol" w:hint="default"/>
        <w:color w:val="000000"/>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ind w:hanging="0" w:start="3600" w:end="0"/>
      <w:outlineLvl w:val="0"/>
    </w:pPr>
    <w:rPr>
      <w:b/>
      <w:sz w:val="32"/>
    </w:rPr>
  </w:style>
  <w:style w:type="paragraph" w:styleId="Heading2">
    <w:name w:val="heading 2"/>
    <w:basedOn w:val="Normal"/>
    <w:next w:val="Normal"/>
    <w:qFormat/>
    <w:pPr>
      <w:keepNext w:val="true"/>
      <w:numPr>
        <w:ilvl w:val="1"/>
        <w:numId w:val="1"/>
      </w:numPr>
      <w:tabs>
        <w:tab w:val="clear" w:pos="540"/>
      </w:tabs>
      <w:jc w:val="center"/>
      <w:outlineLvl w:val="1"/>
    </w:pPr>
    <w:rPr>
      <w:rFonts w:ascii="Times New Roman" w:hAnsi="Times New Roman" w:cs="Times New Roman"/>
      <w:b/>
      <w:color w:val="000000"/>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jc w:val="both"/>
      <w:outlineLvl w:val="3"/>
    </w:pPr>
    <w:rPr>
      <w:rFonts w:ascii="Times New Roman" w:hAnsi="Times New Roman" w:cs="Times New Roman"/>
      <w:b/>
      <w:u w:val="single"/>
    </w:rPr>
  </w:style>
  <w:style w:type="paragraph" w:styleId="Heading5">
    <w:name w:val="heading 5"/>
    <w:basedOn w:val="Normal"/>
    <w:next w:val="Normal"/>
    <w:qFormat/>
    <w:pPr>
      <w:keepNext w:val="true"/>
      <w:numPr>
        <w:ilvl w:val="4"/>
        <w:numId w:val="1"/>
      </w:numPr>
      <w:outlineLvl w:val="4"/>
    </w:pPr>
    <w:rPr>
      <w:b/>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Times New Roman" w:hAnsi="Times New Roman" w:cs="Times New Roman"/>
    </w:rPr>
  </w:style>
  <w:style w:type="character" w:styleId="WW8Num6z0">
    <w:name w:val="WW8Num6z0"/>
    <w:qFormat/>
    <w:rPr>
      <w:rFonts w:ascii="Symbol" w:hAnsi="Symbol" w:cs="Symbol"/>
    </w:rPr>
  </w:style>
  <w:style w:type="character" w:styleId="WW8Num7z0">
    <w:name w:val="WW8Num7z0"/>
    <w:qFormat/>
    <w:rPr>
      <w:rFonts w:ascii="Times New Roman" w:hAnsi="Times New Roman" w:cs="Times New Roman"/>
    </w:rPr>
  </w:style>
  <w:style w:type="character" w:styleId="WW8Num8z0">
    <w:name w:val="WW8Num8z0"/>
    <w:qFormat/>
    <w:rPr>
      <w:rFonts w:ascii="Symbol" w:hAnsi="Symbol" w:cs="Symbol"/>
      <w:color w:val="000000"/>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EndnoteCharacters">
    <w:name w:val="Endnote Characters"/>
    <w:basedOn w:val="DefaultParagraphFont"/>
    <w:qFormat/>
    <w:rPr>
      <w:vertAlign w:val="superscrip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FootnoteText">
    <w:name w:val="footnote text"/>
    <w:basedOn w:val="Normal"/>
    <w:pPr/>
    <w:rPr>
      <w:sz w:val="20"/>
    </w:rPr>
  </w:style>
  <w:style w:type="paragraph" w:styleId="BodyText2">
    <w:name w:val="Body Text 2"/>
    <w:basedOn w:val="Normal"/>
    <w:qFormat/>
    <w:pPr>
      <w:tabs>
        <w:tab w:val="clear" w:pos="540"/>
      </w:tabs>
      <w:spacing w:before="0" w:after="240"/>
      <w:ind w:hanging="2160" w:start="2160" w:end="0"/>
      <w:jc w:val="both"/>
    </w:pPr>
    <w:rPr>
      <w:rFonts w:ascii="Times New Roman" w:hAnsi="Times New Roman" w:cs="Times New Roman"/>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2001-03-06T20:03:00Z</dcterms:created>
  <dc:creator>Jeff Ford</dc:creator>
  <dc:description/>
  <dc:language>en-CA</dc:language>
  <cp:lastModifiedBy>sreinar</cp:lastModifiedBy>
  <cp:lastPrinted>2001-03-06T15:38:00Z</cp:lastPrinted>
  <dcterms:modified xsi:type="dcterms:W3CDTF">2001-03-06T20:03:00Z</dcterms:modified>
  <cp:revision>2</cp:revision>
  <dc:subject/>
  <dc:title>Eron Capital &amp; Trade Resources Memo</dc:title>
</cp:coreProperties>
</file>