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March 21,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t>Lance Schuler</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SUBJECT</w:t>
      </w:r>
      <w:r>
        <w:rPr/>
        <w:t>:</w:t>
        <w:tab/>
        <w:t>Orlando CoGen Limited, L.P. (the “Partnership”)</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RISK FACTOR</w:t>
      </w:r>
      <w:r>
        <w:rPr/>
        <w:t>:  2</w:t>
      </w:r>
    </w:p>
    <w:p>
      <w:pPr>
        <w:pStyle w:val="Normal"/>
        <w:jc w:val="both"/>
        <w:rPr/>
      </w:pPr>
      <w:r>
        <w:rPr/>
      </w:r>
    </w:p>
    <w:p>
      <w:pPr>
        <w:pStyle w:val="BodyText2"/>
        <w:rPr/>
      </w:pPr>
      <w:r>
        <w:rPr/>
        <w:t>Air Products and Chemicals, Inc. (“APCI”) is conducting an auction of its interest in four Qualified Facilities (“QFs”).  Enron North America Corp. (including any designee, “ENA”) is interested in making a binding offer for APCI’s interest in the Orlando, Florida QF (“the “Project”).  ENA would acquire a 50% interest in the Project by purchasing all of the stock of the managing general partner (which owns a 1% interest) of the Partnership and a 49% limited partnership interest in the Partnership.  As part of the acquisition, ENA would also receive an assignment of the operator’s interest in the Project operating agreement and would become the operator for the Project.</w:t>
      </w:r>
    </w:p>
    <w:p>
      <w:pPr>
        <w:pStyle w:val="Normal"/>
        <w:numPr>
          <w:ilvl w:val="0"/>
          <w:numId w:val="2"/>
        </w:numPr>
        <w:spacing w:before="0" w:after="240"/>
        <w:ind w:hanging="720" w:start="720" w:end="0"/>
        <w:jc w:val="both"/>
        <w:rPr>
          <w:b/>
          <w:bCs/>
        </w:rPr>
      </w:pPr>
      <w:r>
        <w:rPr>
          <w:b/>
          <w:bCs/>
        </w:rPr>
        <w:t>Binding Bid.</w:t>
      </w:r>
      <w:r>
        <w:rPr/>
        <w:t xml:space="preserve">  The bid will be binding and ENA will be obligated to close, subject only to requisite consents and approvals (including that of Enron Corp.’s board of directors), representations and warranties being true and correct, delivery of legal opinions and resolution of enumerated due diligence items.</w:t>
      </w:r>
    </w:p>
    <w:p>
      <w:pPr>
        <w:pStyle w:val="Normal"/>
        <w:numPr>
          <w:ilvl w:val="0"/>
          <w:numId w:val="2"/>
        </w:numPr>
        <w:spacing w:before="0" w:after="240"/>
        <w:ind w:hanging="720" w:start="720" w:end="0"/>
        <w:jc w:val="both"/>
        <w:rPr/>
      </w:pPr>
      <w:r>
        <w:rPr>
          <w:b/>
          <w:bCs/>
        </w:rPr>
        <w:t>QF Status.</w:t>
      </w:r>
      <w:r>
        <w:rPr/>
        <w:t xml:space="preserve"> </w:t>
      </w:r>
    </w:p>
    <w:p>
      <w:pPr>
        <w:pStyle w:val="Normal"/>
        <w:numPr>
          <w:ilvl w:val="1"/>
          <w:numId w:val="2"/>
        </w:numPr>
        <w:tabs>
          <w:tab w:val="clear" w:pos="720"/>
        </w:tabs>
        <w:spacing w:before="0" w:after="240"/>
        <w:jc w:val="both"/>
        <w:rPr/>
      </w:pPr>
      <w:r>
        <w:rPr>
          <w:b/>
          <w:bCs/>
        </w:rPr>
        <w:t>Effect of Acquisition.</w:t>
      </w:r>
      <w:r>
        <w:rPr/>
        <w:t xml:space="preserve"> QF status should only be an issue with respect to the acquisition by ENA of an interest in the Project, if the friend of Enron structure is construed as ownership by Enron Corp. (“Enron”) and if the Securities and Exchange Commission does not rule in favor of Enron with respect to its good faith filing made under Section 3(a)(3) and Section 3(a)(5) of the Public Utility Holding Company Act of 1935.  The Partnership is required to maintain its status as a QF under certain Project documents, including the power purchase agreement with Florida Power Corporation (“FPC”).  Since the other partners in the Partnership are subsidiaries of a utility holding company (Utilicorp United Corporation), if ENA were deemed to be a utility or controlled by a utility holding company, the QF status could be lost.  </w:t>
      </w:r>
    </w:p>
    <w:p>
      <w:pPr>
        <w:pStyle w:val="Normal"/>
        <w:numPr>
          <w:ilvl w:val="1"/>
          <w:numId w:val="2"/>
        </w:numPr>
        <w:tabs>
          <w:tab w:val="clear" w:pos="720"/>
        </w:tabs>
        <w:spacing w:before="0" w:after="240"/>
        <w:jc w:val="both"/>
        <w:rPr/>
      </w:pPr>
      <w:r>
        <w:rPr>
          <w:b/>
          <w:bCs/>
        </w:rPr>
        <w:t>Maintenance of.</w:t>
      </w:r>
      <w:r>
        <w:rPr/>
        <w:t xml:space="preserve">  QF status could also be lost if the chilled water agreement between the Partnership and a subsidiary of APCI is terminated as a result of a default by the Partnership or by the cessation of operations at the plant operated by the APCI subsidiary, since the Project maintains its QF status by making sales of chilled water under such agreement.</w:t>
      </w:r>
    </w:p>
    <w:p>
      <w:pPr>
        <w:pStyle w:val="Normal"/>
        <w:numPr>
          <w:ilvl w:val="1"/>
          <w:numId w:val="2"/>
        </w:numPr>
        <w:tabs>
          <w:tab w:val="clear" w:pos="720"/>
        </w:tabs>
        <w:spacing w:before="0" w:after="240"/>
        <w:jc w:val="both"/>
        <w:rPr/>
      </w:pPr>
      <w:r>
        <w:rPr>
          <w:b/>
          <w:bCs/>
        </w:rPr>
        <w:t>Effect of Loss of QF Status</w:t>
      </w:r>
      <w:r>
        <w:rPr/>
        <w:t>.  In addition to causing defaults under various Project documents, the loss of QF status would result in increased regulatory scrutiny.  The Project would be subject to the regulatory requirements of the Public Utility Holding Company Act, state regulation of rates and organizational structures and increased regulation under the Federal Power Act.  The Project would also forfeit the favored status accorded QFs by utilities.</w:t>
      </w:r>
    </w:p>
    <w:p>
      <w:pPr>
        <w:pStyle w:val="Normal"/>
        <w:numPr>
          <w:ilvl w:val="0"/>
          <w:numId w:val="2"/>
        </w:numPr>
        <w:spacing w:before="0" w:after="240"/>
        <w:ind w:hanging="720" w:start="720" w:end="0"/>
        <w:jc w:val="both"/>
        <w:rPr/>
      </w:pPr>
      <w:r>
        <w:rPr>
          <w:b/>
          <w:bCs/>
        </w:rPr>
        <w:t xml:space="preserve">Obligations Assumed.  </w:t>
      </w:r>
      <w:r>
        <w:rPr/>
        <w:t>Obligations to be assumed by ENA are as follows:</w:t>
      </w:r>
    </w:p>
    <w:p>
      <w:pPr>
        <w:pStyle w:val="Normal"/>
        <w:numPr>
          <w:ilvl w:val="1"/>
          <w:numId w:val="2"/>
        </w:numPr>
        <w:tabs>
          <w:tab w:val="clear" w:pos="720"/>
        </w:tabs>
        <w:spacing w:before="0" w:after="240"/>
        <w:jc w:val="both"/>
        <w:rPr/>
      </w:pPr>
      <w:r>
        <w:rPr>
          <w:b/>
          <w:bCs/>
        </w:rPr>
        <w:t xml:space="preserve">Obligations under Reedy Creek Improvement District Firm Power Purchase Agreement (“RCID PPA”).  </w:t>
      </w:r>
    </w:p>
    <w:p>
      <w:pPr>
        <w:pStyle w:val="Normal"/>
        <w:numPr>
          <w:ilvl w:val="1"/>
          <w:numId w:val="3"/>
        </w:numPr>
        <w:tabs>
          <w:tab w:val="clear" w:pos="720"/>
        </w:tabs>
        <w:spacing w:before="0" w:after="240"/>
        <w:ind w:hanging="720" w:start="2160" w:end="0"/>
        <w:jc w:val="both"/>
        <w:rPr>
          <w:b/>
          <w:bCs/>
        </w:rPr>
      </w:pPr>
      <w:r>
        <w:rPr/>
        <w:t>As permitted under the RCID PPA, in lieu of the assumption of APCI’s guaranty obligation with respect to the amount payable by the Partnership upon the termination of the RCID PPA as result of a default by the Partnership (the “Default Amount”), ENA proposes that the Partnership furnish a letter of credit with the cost thereof and any draw thereunder borne equally by the partners.  It is our understanding that the Default Amount is currently about $21 million.</w:t>
      </w:r>
    </w:p>
    <w:p>
      <w:pPr>
        <w:pStyle w:val="Normal"/>
        <w:numPr>
          <w:ilvl w:val="1"/>
          <w:numId w:val="3"/>
        </w:numPr>
        <w:tabs>
          <w:tab w:val="clear" w:pos="720"/>
        </w:tabs>
        <w:spacing w:before="0" w:after="240"/>
        <w:ind w:hanging="720" w:start="2160" w:end="0"/>
        <w:jc w:val="both"/>
        <w:rPr>
          <w:b/>
          <w:bCs/>
        </w:rPr>
      </w:pPr>
      <w:r>
        <w:rPr/>
        <w:t>Pursuant to the RCID PPA, Reedy Creek Improvement District (“Reedy Creek”) has the right to purchase all of the stock of Orlando CoGen Fuel, Inc. (“OC Fuel”) if the RCID PPA terminates as a result of a Partnership default, certain regulatory changes or certain changes in law which would require improvements to the Project for which Reedy Creek would otherwise be responsible (the “Purchase Right”).  As the assignee of the stock of the entity owning 100% of the stock of OC Fuel, ENA would be obligated to (i) honor the Purchase Right and (ii) to indemnify Reedy Creek for any failure to comply with the Purchase Right, covenants made with respect thereto, and liabilities of OC Fuel arising prior to Reedy Creek’s purchase of the OC Fuel shares.  Although OC Fuel has been represented to be a special purpose entity created for the sole purpose of being one of the assignees of the Vaster agreement, it is hard to assess at this time whether clause (ii) could result in significant liabilities for ENA.</w:t>
      </w:r>
    </w:p>
    <w:p>
      <w:pPr>
        <w:pStyle w:val="Normal"/>
        <w:numPr>
          <w:ilvl w:val="1"/>
          <w:numId w:val="2"/>
        </w:numPr>
        <w:tabs>
          <w:tab w:val="clear" w:pos="720"/>
        </w:tabs>
        <w:spacing w:before="0" w:after="240"/>
        <w:jc w:val="both"/>
        <w:rPr/>
      </w:pPr>
      <w:r>
        <w:rPr>
          <w:b/>
          <w:bCs/>
        </w:rPr>
        <w:t xml:space="preserve">Hot Path Parts Gas Agreement.  </w:t>
      </w:r>
      <w:r>
        <w:rPr/>
        <w:t>In lieu of the assumption of APCI’s guaranty obligation with respect to 50% of those amounts payable by the Partnership upon termination of the Hot Path Parts Agreement between the Partnership and ABB Power Generation Inc. (the “Termination Amount”), ENA proposes that the Partnership furnish a letter of credit with the cost thereof and any draw thereunder borne equally by the partners.  The Termination Amount is equal to  (x) the greater of (i) 5% of the remaining monthly fees ($136,500 subject to CPI adjustment) and (ii) $250,000 and (y) 100% of all reconditioning fees less the monthly fee for the last scheduled inspection.  The remaining term of the agreement is approximately 44 months.</w:t>
      </w:r>
    </w:p>
    <w:p>
      <w:pPr>
        <w:pStyle w:val="Normal"/>
        <w:numPr>
          <w:ilvl w:val="1"/>
          <w:numId w:val="2"/>
        </w:numPr>
        <w:tabs>
          <w:tab w:val="clear" w:pos="720"/>
        </w:tabs>
        <w:spacing w:before="0" w:after="240"/>
        <w:jc w:val="both"/>
        <w:rPr/>
      </w:pPr>
      <w:r>
        <w:rPr>
          <w:b/>
          <w:bCs/>
        </w:rPr>
        <w:t xml:space="preserve">Operating Agreement.  </w:t>
      </w:r>
      <w:r>
        <w:rPr/>
        <w:t>The operator (ENA) would be required to indemnify the Partnership, its partners, agents, employees and affiliates, assignees and the banks under the credit agreement for any personal injury or property damage arising out of any environmental hazard caused in whole or in part by the negligence or willful misconduct of the operator, subject to an annual cap equal to all insurance proceeds plus $500,000 and a aggregate cap equal to all insurance proceeds plus $5,000,000; provided that no cap applies to third party liabilities or the operator’s gross negligence or willful misconduct, and provided further that no indirect, special, incidental or consequential damages will be payable.</w:t>
      </w:r>
    </w:p>
    <w:p>
      <w:pPr>
        <w:pStyle w:val="Normal"/>
        <w:numPr>
          <w:ilvl w:val="0"/>
          <w:numId w:val="2"/>
        </w:numPr>
        <w:spacing w:before="0" w:after="240"/>
        <w:ind w:hanging="720" w:start="720" w:end="0"/>
        <w:jc w:val="both"/>
        <w:rPr>
          <w:b/>
          <w:bCs/>
        </w:rPr>
      </w:pPr>
      <w:r>
        <w:rPr>
          <w:b/>
          <w:bCs/>
        </w:rPr>
        <w:t xml:space="preserve">Restructuring.  </w:t>
      </w:r>
      <w:r>
        <w:rPr/>
        <w:t>One of the attractive features of the Project is the gas supply contract with Vastar Gas Marketing, Inc. (“Vastar”).  The purchase price for gas thereunder is far below the current market price for gas.  It is assumed that the gas could be remarketed and sold at a profit by the Partnership.  However, there are numerous impediments to remarketing.  The Vastar agreement is a requirements contract, and although good arguments exist for allowing the remarketing of such gas, we have been advised that it would be best to obtain Vastar’s consent prior to proceeding.  Also, the remarketing of the gas would entail a total restructuring of the Project, including terminating the RCID PPA, the power purchase agreement with FPC, most likely refinancing the debt outstanding under the credit facility, as well as obtaining consents from various parties, including Reedy Creek, FPC and the other partners in the Partnership.</w:t>
      </w:r>
    </w:p>
    <w:p>
      <w:pPr>
        <w:pStyle w:val="Normal"/>
        <w:jc w:val="both"/>
        <w:rPr/>
      </w:pPr>
      <w:r>
        <w:rPr/>
        <w:t>cc:</w:t>
        <w:tab/>
        <w:t>George Schaefer</w:t>
      </w:r>
    </w:p>
    <w:p>
      <w:pPr>
        <w:pStyle w:val="Normal"/>
        <w:jc w:val="both"/>
        <w:rPr/>
      </w:pPr>
      <w:r>
        <w:rPr/>
        <w:tab/>
        <w:t>Michael J. Miller</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/mnt/main-storage/datasets/enron-docs/doc/air_products_risk_memob.doc</w:t>
    </w:r>
    <w:r>
      <w:rPr>
        <w:sz w:val="14"/>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720"/>
      </w:pPr>
      <w:rPr>
        <w:sz w:val="24"/>
        <w:i w:val="false"/>
        <w:b w:val="false"/>
        <w:rFonts w:ascii="Times New Roman" w:hAnsi="Times New Roman" w:cs="Times New Roman"/>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720"/>
      </w:pPr>
      <w:rPr>
        <w:sz w:val="24"/>
        <w:i w:val="false"/>
        <w:b w:val="false"/>
        <w:rFonts w:ascii="Times New Roman" w:hAnsi="Times New Roman" w:cs="Times New Roman"/>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b w:val="false"/>
      <w:i w:val="false"/>
      <w:sz w:val="24"/>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2001-03-21T18:32:00Z</dcterms:created>
  <dc:creator>ECT</dc:creator>
  <dc:description/>
  <dc:language>en-CA</dc:language>
  <cp:lastModifiedBy>adavis4</cp:lastModifiedBy>
  <cp:lastPrinted>2001-03-22T15:30:00Z</cp:lastPrinted>
  <dcterms:modified xsi:type="dcterms:W3CDTF">2001-03-23T10:37:00Z</dcterms:modified>
  <cp:revision>23</cp:revision>
  <dc:subject/>
  <dc:title> 	</dc:title>
</cp:coreProperties>
</file>