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Heading1"/>
        <w:ind w:hanging="0" w:start="0"/>
        <w:rPr/>
      </w:pPr>
      <w:r>
        <w:rPr/>
        <w:t>PRIVILEGED ANDCONFIDENTIAL</w:t>
      </w:r>
    </w:p>
    <w:p>
      <w:pPr>
        <w:pStyle w:val="Heading1"/>
        <w:ind w:hanging="0" w:start="0"/>
        <w:rPr/>
      </w:pPr>
      <w:r>
        <w:rPr/>
        <w:t>ATTORNEY WORK PRODUCT</w:t>
      </w:r>
    </w:p>
    <w:p>
      <w:pPr>
        <w:pStyle w:val="MessageHeader"/>
        <w:rPr/>
      </w:pPr>
      <w:r>
        <w:rPr>
          <w:b/>
        </w:rPr>
        <w:t>TO:</w:t>
      </w:r>
      <w:r>
        <w:rPr/>
        <w:tab/>
        <w:t>Mark Haedicke</w:t>
        <w:tab/>
        <w:tab/>
        <w:tab/>
      </w:r>
      <w:r>
        <w:rPr>
          <w:b/>
          <w:bCs/>
        </w:rPr>
        <w:t xml:space="preserve">DATE:  </w:t>
      </w:r>
      <w:r>
        <w:rPr/>
        <w:t>November 15, 2000</w:t>
      </w:r>
    </w:p>
    <w:p>
      <w:pPr>
        <w:pStyle w:val="MessageHeader"/>
        <w:rPr/>
      </w:pPr>
      <w:r>
        <w:rPr/>
        <w:tab/>
        <w:t>Lance Schuler</w:t>
      </w:r>
    </w:p>
    <w:p>
      <w:pPr>
        <w:pStyle w:val="MessageHeader"/>
        <w:rPr/>
      </w:pPr>
      <w:r>
        <w:rPr/>
        <w:tab/>
        <w:t>Travis McCullough</w:t>
        <w:tab/>
        <w:tab/>
        <w:tab/>
        <w:tab/>
        <w:tab/>
        <w:tab/>
        <w:tab/>
        <w:tab/>
        <w:tab/>
        <w:tab/>
      </w:r>
    </w:p>
    <w:p>
      <w:pPr>
        <w:pStyle w:val="MessageHeader"/>
        <w:rPr/>
      </w:pPr>
      <w:r>
        <w:rPr>
          <w:b/>
        </w:rPr>
        <w:t>FROM:</w:t>
      </w:r>
      <w:r>
        <w:rPr/>
        <w:tab/>
        <w:t>Angela D. Davis</w:t>
        <w:tab/>
        <w:tab/>
        <w:tab/>
      </w:r>
      <w:r>
        <w:rPr>
          <w:b/>
        </w:rPr>
        <w:t xml:space="preserve">DEPARTMENT:  </w:t>
      </w:r>
      <w:r>
        <w:rPr/>
        <w:t>ENA</w:t>
      </w:r>
      <w:r>
        <w:rPr>
          <w:b/>
        </w:rPr>
        <w:t xml:space="preserve"> </w:t>
      </w:r>
      <w:r>
        <w:rPr/>
        <w:t>Legal</w:t>
        <w:tab/>
        <w:tab/>
        <w:tab/>
        <w:tab/>
      </w:r>
    </w:p>
    <w:p>
      <w:pPr>
        <w:pStyle w:val="MessageHeader"/>
        <w:rPr/>
      </w:pPr>
      <w:r>
        <w:rPr>
          <w:b/>
          <w:bCs/>
        </w:rPr>
        <w:t>SUBJECT</w:t>
      </w:r>
      <w:r>
        <w:rPr/>
        <w:t>:</w:t>
        <w:tab/>
        <w:t>AIG Highstar Capital, L. P. (the “Partnership”)</w:t>
      </w:r>
    </w:p>
    <w:p>
      <w:pPr>
        <w:pStyle w:val="MessageHeader"/>
        <w:rPr/>
      </w:pPr>
      <w:r>
        <w:rPr/>
      </w:r>
    </w:p>
    <w:p>
      <w:pPr>
        <w:pStyle w:val="MessageHeader"/>
        <w:rPr/>
      </w:pPr>
      <w:r>
        <w:rPr>
          <w:b/>
          <w:bCs/>
        </w:rPr>
        <w:t>RISK FACTOR</w:t>
      </w:r>
      <w:r>
        <w:rPr/>
        <w:t>:</w:t>
        <w:tab/>
        <w:t>1</w:t>
      </w:r>
    </w:p>
    <w:p>
      <w:pPr>
        <w:pStyle w:val="Normal"/>
        <w:jc w:val="both"/>
        <w:rPr/>
      </w:pPr>
      <w:r>
        <w:rPr/>
      </w:r>
    </w:p>
    <w:p>
      <w:pPr>
        <w:pStyle w:val="BodyTextIndent"/>
        <w:rPr/>
      </w:pPr>
      <w:r>
        <w:rPr/>
        <w:t>The Partnership was recently organized by American International Group, Inc (“AIG”) for the purpose of making debt and equity investments in entities whose principal business is the provision of operating, technological, management and/or other goods and services in sectors which are undergoing deregulation (</w:t>
      </w:r>
      <w:r>
        <w:rPr>
          <w:i/>
          <w:iCs/>
        </w:rPr>
        <w:t>e.g.</w:t>
      </w:r>
      <w:r>
        <w:rPr/>
        <w:t xml:space="preserve"> the power, environmental services and transportation sectors) for the most part, in the U.S. and Canada (“Portfolio Companies”).  The general partner and the manager of the Partnership are affiliates of AIG.  The total commitment of all partners will not exceed $750,000,000.  ECT Merchant Investments Corp. (“EMIC”) and Enron Engineering &amp; Construction Company (“EECC”) will each purchase a limited partnership interest in the Partnership.  EMIC will agree to make capital contributions of up to $12,500,000 and EECC will agree to make capital contributions of up to $12,500,000.  Each of EMIC and EECC will have the option to cease making capital contributions to the Partnership (other than with respect to commitments made prior to such time) upon the earlier to occur of (i) the one year anniversary of the closing of the purchase of its interest in the Partnership and (ii) its capital contributions (or their pro rata share of unfunded commitments) exceeding 40% of their total required capital contributions. </w:t>
      </w:r>
    </w:p>
    <w:p>
      <w:pPr>
        <w:pStyle w:val="BodyTextIndent"/>
        <w:rPr/>
      </w:pPr>
      <w:r>
        <w:rPr/>
      </w:r>
    </w:p>
    <w:p>
      <w:pPr>
        <w:pStyle w:val="BodyTextIndent"/>
        <w:rPr/>
      </w:pPr>
      <w:r>
        <w:rPr/>
        <w:t>Each of EMIC and EECC will enter into side letter agreements with the Partnership in which the Partnership will agree to give EMIC or EECC, as appropriate, and their affiliates, the first right to bid to provide Portfolio Companies with energy related trading and marketing, engineering, construction management, operating and related services.  The general partner of the Partnership will recommend that Portfolio Companies utilize such services, if the general partner determines that such services are being offered at market terms.  Pursuant to EMIC’s side letter agreement, a representative of EMIC will be appointed to an advisory committee (“Advisory Committee”) which will consult with the general partner on matters specified by the general partner, including partner/Partnership conflicts.  The right of first offer shall continue so long as EMIC and EECC are obligated to make capital contributions and neither EMIC nor EECC are in default under the limited partnership agreement.  Consequently, if EMIC or EECC shall fail to make a required capital contribution, both will be treated as defaulting partners.  Also, if either EMIC or EECC elects to cease making capital contributions as permitted under the limited partnership agreement, the other shall be deemed to have so elected also.</w:t>
      </w:r>
    </w:p>
    <w:p>
      <w:pPr>
        <w:pStyle w:val="BodyTextIndent"/>
        <w:rPr/>
      </w:pPr>
      <w:r>
        <w:rPr/>
      </w:r>
    </w:p>
    <w:p>
      <w:pPr>
        <w:pStyle w:val="ListBullet2"/>
        <w:numPr>
          <w:ilvl w:val="0"/>
          <w:numId w:val="2"/>
        </w:numPr>
        <w:jc w:val="both"/>
        <w:rPr/>
      </w:pPr>
      <w:r>
        <w:rPr/>
        <w:t>The approval of this investment embodied in the DASH was conditioned upon Enron North America Corp. (now EMIC) obtaining a right of first refusal to provide all energy related services.  As a result of the general partner’s concern with its fiduciary obligations to the Partnership, EMIC was able to negotiate only a right of first offer, with the general partner agreeing to recommend any proposal to the relevant Portfolio Company which it deems to be on market terms.  Since it is believed that any proposal made by EMIC will be on market terms, EMIC’s rights to make proposals may be substantively similar to a right of first offer.</w:t>
      </w:r>
    </w:p>
    <w:p>
      <w:pPr>
        <w:pStyle w:val="ListBullet2"/>
        <w:ind w:hanging="0" w:end="0"/>
        <w:jc w:val="both"/>
        <w:rPr/>
      </w:pPr>
      <w:r>
        <w:rPr/>
      </w:r>
    </w:p>
    <w:p>
      <w:pPr>
        <w:pStyle w:val="ListBullet2"/>
        <w:numPr>
          <w:ilvl w:val="0"/>
          <w:numId w:val="2"/>
        </w:numPr>
        <w:jc w:val="both"/>
        <w:rPr/>
      </w:pPr>
      <w:r>
        <w:rPr/>
        <w:t xml:space="preserve">The DASH provides that the investment in the Partnership will be made jointly by EMIC and EECC.  Administratively, it was determined that separate investments would be more appropriate.  </w:t>
      </w:r>
    </w:p>
    <w:p>
      <w:pPr>
        <w:pStyle w:val="ListBullet2"/>
        <w:ind w:hanging="0" w:end="0"/>
        <w:jc w:val="both"/>
        <w:rPr/>
      </w:pPr>
      <w:r>
        <w:rPr/>
      </w:r>
    </w:p>
    <w:p>
      <w:pPr>
        <w:pStyle w:val="ListBullet2"/>
        <w:numPr>
          <w:ilvl w:val="0"/>
          <w:numId w:val="2"/>
        </w:numPr>
        <w:jc w:val="both"/>
        <w:rPr/>
      </w:pPr>
      <w:r>
        <w:rPr/>
        <w:t>As a result of the general partner’s broad discretion to manage the Partnership business, EMIC will have little influence over the management of the Partnership’s affairs.  For example, the general partner has discretion to choose the investments to be made by the Partnership, subject to investment guidelines set forth in the limited partnership agreement, and to identify general partner/Partnership conflicts.  Although this level of discretion is unusual for a transaction in which Enron invests, it is not unusual in a partnership of this size in which EMIC’s and EECC’s aggregate investment will constitute no more than 3%.  Also, EMIC will have some influence on the management of the Partnership, since under the side letter it can bring potential investments to the Partnership and will have a position on the Partnership Advisory Committee.</w:t>
      </w:r>
    </w:p>
    <w:p>
      <w:pPr>
        <w:pStyle w:val="ListBullet2"/>
        <w:ind w:hanging="0" w:start="0" w:end="0"/>
        <w:jc w:val="both"/>
        <w:rPr/>
      </w:pPr>
      <w:r>
        <w:rPr/>
      </w:r>
    </w:p>
    <w:p>
      <w:pPr>
        <w:pStyle w:val="ListBullet2"/>
        <w:numPr>
          <w:ilvl w:val="0"/>
          <w:numId w:val="2"/>
        </w:numPr>
        <w:jc w:val="both"/>
        <w:rPr/>
      </w:pPr>
      <w:r>
        <w:rPr/>
        <w:t>The general partner’s fiduciary obligations under the partnership agreement have been weakened through negotiation, and consequently, are not as strict as is typical in an Enron transaction.  For example, the general partner can individually, and through various investment vehicles, invest and coinvest in Portfolio Companies which could be or are targeted investments under the partnership agreement.  However, the situations in which this can occur are limited and a provision like this is not unusual in this type of investment structure.</w:t>
      </w:r>
    </w:p>
    <w:p>
      <w:pPr>
        <w:pStyle w:val="ListBullet2"/>
        <w:ind w:hanging="0" w:start="0" w:end="0"/>
        <w:jc w:val="both"/>
        <w:rPr/>
      </w:pPr>
      <w:r>
        <w:rPr/>
      </w:r>
    </w:p>
    <w:p>
      <w:pPr>
        <w:pStyle w:val="ListBullet2"/>
        <w:numPr>
          <w:ilvl w:val="0"/>
          <w:numId w:val="2"/>
        </w:numPr>
        <w:jc w:val="both"/>
        <w:rPr/>
      </w:pPr>
      <w:r>
        <w:rPr/>
        <w:t>With respect to contingent funding obligations of the Partnership, the Partnership can require that any limited partner rated lower than investment grade post a letter of credit, cash fund or provide a guaranty from an entity rated at least investment grade by both Standard &amp; Poor’s Rating Services and Moody’s Investors Service, Inc., with respect to its portion of the Partnership’s contingent funding obligation.</w:t>
      </w:r>
    </w:p>
    <w:p>
      <w:pPr>
        <w:pStyle w:val="ListBullet2"/>
        <w:ind w:hanging="0" w:start="0" w:end="0"/>
        <w:jc w:val="both"/>
        <w:rPr/>
      </w:pPr>
      <w:r>
        <w:rPr/>
      </w:r>
    </w:p>
    <w:p>
      <w:pPr>
        <w:pStyle w:val="ListBullet2"/>
        <w:numPr>
          <w:ilvl w:val="0"/>
          <w:numId w:val="2"/>
        </w:numPr>
        <w:jc w:val="both"/>
        <w:rPr/>
      </w:pPr>
      <w:r>
        <w:rPr/>
        <w:t>The limited partnership interests in the Partnership will not be registered under U.S. or applicable state securities laws and the partnership agreement places many limitations upon the transfer of a partnership interest.  However, a limited partnership interest may be transferred to an affiliate of a limited partner if (i) such affiliate is rated at least as high as the transferring limited partner or (ii) the transferor limited partner remains liable for Partnership obligations of the transferee affiliate.  Consequently, EMIC’s investment in the Partnership will be somewhat illiquid.</w:t>
      </w:r>
    </w:p>
    <w:p>
      <w:pPr>
        <w:pStyle w:val="ListBullet2"/>
        <w:ind w:hanging="0" w:start="0" w:end="0"/>
        <w:jc w:val="both"/>
        <w:rPr/>
      </w:pPr>
      <w:r>
        <w:rPr/>
      </w:r>
    </w:p>
    <w:p>
      <w:pPr>
        <w:pStyle w:val="ListBullet2"/>
        <w:ind w:hanging="0" w:start="0" w:end="0"/>
        <w:jc w:val="both"/>
        <w:rPr/>
      </w:pPr>
      <w:r>
        <w:rPr/>
      </w:r>
    </w:p>
    <w:p>
      <w:pPr>
        <w:pStyle w:val="ListBullet2"/>
        <w:ind w:hanging="0" w:start="0" w:end="0"/>
        <w:jc w:val="both"/>
        <w:rPr/>
      </w:pPr>
      <w:r>
        <w:rPr/>
      </w:r>
    </w:p>
    <w:p>
      <w:pPr>
        <w:pStyle w:val="ListBullet2"/>
        <w:ind w:hanging="0" w:start="0" w:end="0"/>
        <w:jc w:val="both"/>
        <w:rPr/>
      </w:pPr>
      <w:r>
        <w:rPr/>
      </w:r>
    </w:p>
    <w:p>
      <w:pPr>
        <w:pStyle w:val="ListBullet2"/>
        <w:ind w:hanging="0" w:start="0" w:end="0"/>
        <w:jc w:val="both"/>
        <w:rPr/>
      </w:pPr>
      <w:r>
        <w:rPr/>
        <w:t>cc:  Mr. Joseph Deffner</w:t>
      </w:r>
    </w:p>
    <w:p>
      <w:pPr>
        <w:pStyle w:val="CcList"/>
        <w:rPr/>
      </w:pPr>
      <w:r>
        <w:rPr/>
      </w:r>
    </w:p>
    <w:sectPr>
      <w:headerReference w:type="default" r:id="rId3"/>
      <w:headerReference w:type="first" r:id="rId4"/>
      <w:footerReference w:type="default" r:id="rId5"/>
      <w:footerReference w:type="first" r:id="rId6"/>
      <w:type w:val="nextPage"/>
      <w:pgSz w:w="12240" w:h="15840"/>
      <w:pgMar w:left="1440" w:right="1440" w:gutter="0" w:header="576"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/mnt/main-storage/datasets/enron-docs/doc/aigriskmemo2-ed22b2dc731c7be459b9086b1ad8d52b60d559fad35949e3938fc02b9cf17839.doc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7716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ListBullet2">
    <w:name w:val="List Bullet 2"/>
    <w:basedOn w:val="Normal"/>
    <w:pPr>
      <w:ind w:hanging="36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CcList">
    <w:name w:val="Cc List"/>
    <w:basedOn w:val="Normal"/>
    <w:qFormat/>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2000-11-15T15:59:00Z</dcterms:created>
  <dc:creator>ECT</dc:creator>
  <dc:description/>
  <dc:language>en-CA</dc:language>
  <cp:lastModifiedBy>adavis4</cp:lastModifiedBy>
  <cp:lastPrinted>2000-11-15T12:50:00Z</cp:lastPrinted>
  <dcterms:modified xsi:type="dcterms:W3CDTF">2000-11-15T16:21:00Z</dcterms:modified>
  <cp:revision>6</cp:revision>
  <dc:subject/>
  <dc:title> 	</dc:title>
</cp:coreProperties>
</file>