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 – FOR DISCUSSION PURPOSES ONLY</w:t>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the maximum applicable rate currently in effect in </w:t>
      </w:r>
      <w:r>
        <w:rPr>
          <w:spacing w:val="-3"/>
        </w:rPr>
        <w:t>Transwestern</w:t>
      </w:r>
      <w:r>
        <w:rPr/>
        <w:t>'s FERC Gas Tariff.</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u w:val="single"/>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rPr>
          <w:b/>
          <w:u w:val="single"/>
        </w:rPr>
      </w:pPr>
      <w:r>
        <w:rPr>
          <w:b/>
          <w:u w:val="single"/>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to file at the Federal Energy Regulatory Commission ("FERC") a timely intervention fully supporting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 xml:space="preserve">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2001-03-27T11:56:00Z</dcterms:created>
  <dc:creator>ET&amp;S LAN Support</dc:creator>
  <dc:description/>
  <cp:keywords>Transwestern ECT</cp:keywords>
  <dc:language>en-CA</dc:language>
  <cp:lastModifiedBy>sscott3</cp:lastModifiedBy>
  <cp:lastPrinted>1999-02-12T17:17:00Z</cp:lastPrinted>
  <dcterms:modified xsi:type="dcterms:W3CDTF">2001-03-27T11:56:00Z</dcterms:modified>
  <cp:revision>2</cp:revision>
  <dc:subject>Ignacio West</dc:subject>
  <dc:title>Agreement</dc:title>
</cp:coreProperties>
</file>