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DRAFT – FOR DISCUSSION PURPOSES ONLY</w:t>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the following:</w:t>
      </w:r>
    </w:p>
    <w:p>
      <w:pPr>
        <w:pStyle w:val="Normal"/>
        <w:ind w:hanging="720" w:start="1440" w:end="0"/>
        <w:rPr/>
      </w:pPr>
      <w:r>
        <w:rPr/>
      </w:r>
    </w:p>
    <w:p>
      <w:pPr>
        <w:pStyle w:val="Normal"/>
        <w:rPr/>
      </w:pPr>
      <w:r>
        <w:rPr/>
        <w:tab/>
        <w:t>a.</w:t>
        <w:tab/>
        <w:t>The Firm Transportation Service Request ("Service Request") attached hereto as Exhibit 1; and</w:t>
      </w:r>
    </w:p>
    <w:p>
      <w:pPr>
        <w:pStyle w:val="Normal"/>
        <w:rPr/>
      </w:pPr>
      <w:r>
        <w:rPr/>
      </w:r>
    </w:p>
    <w:p>
      <w:pPr>
        <w:pStyle w:val="Normal"/>
        <w:rPr/>
      </w:pPr>
      <w:r>
        <w:rPr/>
        <w:tab/>
        <w:t>b.</w:t>
        <w:tab/>
        <w:t>The Firm Transportation Service Agreement ("FTS-1 Agreement") attached hereto as Exhibit 2.</w:t>
      </w:r>
    </w:p>
    <w:p>
      <w:pPr>
        <w:pStyle w:val="Normal"/>
        <w:rPr/>
      </w:pPr>
      <w:r>
        <w:rPr/>
      </w:r>
    </w:p>
    <w:p>
      <w:pPr>
        <w:pStyle w:val="Normal"/>
        <w:rPr/>
      </w:pPr>
      <w:r>
        <w:rPr>
          <w:b/>
        </w:rPr>
        <w:t>2.</w:t>
        <w:tab/>
      </w:r>
      <w:r>
        <w:rPr>
          <w:b/>
          <w:u w:val="single"/>
        </w:rPr>
        <w:t>Effective Date</w:t>
      </w:r>
      <w:r>
        <w:rPr/>
        <w:t>.  Upon the execution by Shipper of the Service Request, and the execution of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same date as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rate commodity and reservation rate applicable to the FTS-1 Agreement (the "Rate") shall be </w:t>
      </w:r>
      <w:r>
        <w:rPr>
          <w:i/>
          <w:color w:val="FF0000"/>
        </w:rPr>
        <w:t>[specify]</w:t>
      </w:r>
      <w:r>
        <w:rPr/>
        <w:t xml:space="preserve"> multiplied by the total contract quantity.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the maximum applicable rate stated in </w:t>
      </w:r>
      <w:r>
        <w:rPr>
          <w:spacing w:val="-3"/>
        </w:rPr>
        <w:t>Transwestern</w:t>
      </w:r>
      <w:r>
        <w:rPr/>
        <w:t>'s FERC Gas Tariff.</w:t>
      </w:r>
    </w:p>
    <w:p>
      <w:pPr>
        <w:pStyle w:val="Normal"/>
        <w:rPr/>
      </w:pPr>
      <w:r>
        <w:rPr/>
      </w:r>
    </w:p>
    <w:p>
      <w:pPr>
        <w:pStyle w:val="Normal"/>
        <w:ind w:firstLine="720" w:end="0"/>
        <w:rPr/>
      </w:pPr>
      <w:r>
        <w:rPr/>
        <w:t>c.</w:t>
        <w:tab/>
      </w:r>
      <w:r>
        <w:rPr>
          <w:u w:val="single"/>
        </w:rPr>
        <w:t>Changes to tariff rates</w:t>
      </w:r>
      <w:r>
        <w:rPr/>
        <w:t>.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Additionally, Shipper shall pay any surcharges authorized under Transwestern’s FERC Gas Tariff after the effective date of this agreement.</w:t>
      </w:r>
    </w:p>
    <w:p>
      <w:pPr>
        <w:pStyle w:val="Normal"/>
        <w:rPr>
          <w:b/>
        </w:rPr>
      </w:pPr>
      <w:r>
        <w:rPr>
          <w:b/>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to file at the Federal Energy Regulatory Commission ("FERC") a timely intervention fully supporting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2002,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the Service Request,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ind w:firstLine="720" w:start="57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2002,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 xml:space="preserve">This Agreement shall have a term of ___ ( ) years from and after the in-service date of the Red Rock Expansion.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t xml:space="preserve">     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2001-02-13T18:54:00Z</dcterms:created>
  <dc:creator>ET&amp;S LAN Support</dc:creator>
  <dc:description/>
  <cp:keywords>Transwestern ECT</cp:keywords>
  <dc:language>en-CA</dc:language>
  <cp:lastModifiedBy>sscott3</cp:lastModifiedBy>
  <cp:lastPrinted>1999-02-12T17:17:00Z</cp:lastPrinted>
  <dcterms:modified xsi:type="dcterms:W3CDTF">2001-02-22T18:01:00Z</dcterms:modified>
  <cp:revision>8</cp:revision>
  <dc:subject>Ignacio West</dc:subject>
  <dc:title>Agreement</dc:title>
</cp:coreProperties>
</file>