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Proposed Agenda for Bankruptcy Analysis Meeting</w:t>
      </w:r>
    </w:p>
    <w:p>
      <w:pPr>
        <w:pStyle w:val="Normal"/>
        <w:rPr/>
      </w:pPr>
      <w:r>
        <w:rPr/>
        <w:t>Draft 1/7/01</w:t>
      </w:r>
    </w:p>
    <w:p>
      <w:pPr>
        <w:pStyle w:val="Heading"/>
        <w:rPr/>
      </w:pPr>
      <w:r>
        <w:rPr/>
        <w:t>AGENDA</w:t>
      </w:r>
    </w:p>
    <w:p>
      <w:pPr>
        <w:pStyle w:val="Heading1"/>
        <w:ind w:hanging="0" w:start="0"/>
        <w:rPr/>
      </w:pPr>
      <w:r>
        <w:rPr/>
        <w:tab/>
        <w:t>OVERALL UPDATE ON PG&amp;E/SOCALED FINANCIAL AND CREDIT POSITION</w:t>
      </w:r>
    </w:p>
    <w:p>
      <w:pPr>
        <w:pStyle w:val="Heading2"/>
        <w:ind w:hanging="0" w:start="0"/>
        <w:rPr/>
      </w:pPr>
      <w:r>
        <w:rPr/>
        <w:tab/>
        <w:t>Review credit agency, cash balance account timing issues affecting a possible bankruptcy filing</w:t>
      </w:r>
    </w:p>
    <w:p>
      <w:pPr>
        <w:pStyle w:val="Heading2"/>
        <w:ind w:hanging="0" w:start="0"/>
        <w:rPr/>
      </w:pPr>
      <w:r>
        <w:rPr/>
        <w:tab/>
        <w:t>Update on Enron's current continued trading with these entities, if any</w:t>
      </w:r>
    </w:p>
    <w:p>
      <w:pPr>
        <w:pStyle w:val="Heading1"/>
        <w:ind w:hanging="0" w:start="0"/>
        <w:rPr/>
      </w:pPr>
      <w:r>
        <w:rPr/>
        <w:tab/>
        <w:t>REVIEW RELATIONSHIPS OF ENRON ENTITIES WITH CA UTILITIES AND AFFILIATES</w:t>
      </w:r>
    </w:p>
    <w:p>
      <w:pPr>
        <w:pStyle w:val="Heading2"/>
        <w:ind w:hanging="0" w:start="0"/>
        <w:rPr/>
      </w:pPr>
      <w:r>
        <w:rPr/>
        <w:tab/>
        <w:t>Organizational chart of the relevant Enron entities</w:t>
      </w:r>
    </w:p>
    <w:p>
      <w:pPr>
        <w:pStyle w:val="Heading2"/>
        <w:ind w:hanging="0" w:start="0"/>
        <w:rPr/>
      </w:pPr>
      <w:r>
        <w:rPr/>
        <w:tab/>
        <w:t>Gas, power; any other significant relationships (e.g., broadband)?</w:t>
      </w:r>
    </w:p>
    <w:p>
      <w:pPr>
        <w:pStyle w:val="Heading2"/>
        <w:ind w:hanging="0" w:start="0"/>
        <w:rPr/>
      </w:pPr>
      <w:r>
        <w:rPr/>
        <w:tab/>
        <w:t>Portland General exposure?  Could liability there reduce purchase price to Enron from Sierra under a balance sheet type true-up in SPA?</w:t>
      </w:r>
    </w:p>
    <w:p>
      <w:pPr>
        <w:pStyle w:val="Heading2"/>
        <w:ind w:hanging="0" w:start="0"/>
        <w:rPr/>
      </w:pPr>
      <w:r>
        <w:rPr/>
        <w:tab/>
        <w:t>Any significant dealings w/SoCalEd, Mission Energy</w:t>
      </w:r>
    </w:p>
    <w:p>
      <w:pPr>
        <w:pStyle w:val="Heading2"/>
        <w:ind w:hanging="0" w:start="0"/>
        <w:rPr/>
      </w:pPr>
      <w:r>
        <w:rPr/>
        <w:tab/>
        <w:t>Extent of physical vs. financial assets and liabilities</w:t>
      </w:r>
    </w:p>
    <w:p>
      <w:pPr>
        <w:pStyle w:val="Heading2"/>
        <w:ind w:hanging="0" w:start="0"/>
        <w:rPr/>
      </w:pPr>
      <w:r>
        <w:rPr/>
        <w:tab/>
        <w:t>Need to review all Master Agreements (due diligence on confirms re: correct entities)</w:t>
      </w:r>
    </w:p>
    <w:p>
      <w:pPr>
        <w:pStyle w:val="Heading3"/>
        <w:ind w:hanging="0" w:start="0"/>
        <w:rPr/>
      </w:pPr>
      <w:r>
        <w:rPr/>
        <w:t>--confirm existence or absence of any affiliate set-off language</w:t>
      </w:r>
    </w:p>
    <w:p>
      <w:pPr>
        <w:pStyle w:val="Heading3"/>
        <w:ind w:hanging="0" w:start="0"/>
        <w:rPr/>
      </w:pPr>
      <w:r>
        <w:rPr/>
        <w:t>--review of common law set-off possibilities</w:t>
      </w:r>
    </w:p>
    <w:p>
      <w:pPr>
        <w:pStyle w:val="Heading3"/>
        <w:ind w:hanging="0" w:start="0"/>
        <w:rPr/>
      </w:pPr>
      <w:r>
        <w:rPr/>
        <w:t>--review payment default language in contracts and examine risks/benefits of Enron "slow paying" bills</w:t>
      </w:r>
    </w:p>
    <w:p>
      <w:pPr>
        <w:pStyle w:val="Heading3"/>
        <w:ind w:hanging="0" w:start="0"/>
        <w:rPr/>
      </w:pPr>
      <w:r>
        <w:rPr/>
        <w:t xml:space="preserve">--review current account payables/account receivables situation </w:t>
      </w:r>
    </w:p>
    <w:p>
      <w:pPr>
        <w:pStyle w:val="Heading1"/>
        <w:ind w:hanging="0" w:start="0"/>
        <w:rPr/>
      </w:pPr>
      <w:r>
        <w:rPr/>
        <w:tab/>
        <w:t>REVIEW EEMC, EPMI, PGET, AVISTA YEAR END TRANSACTION</w:t>
      </w:r>
    </w:p>
    <w:p>
      <w:pPr>
        <w:pStyle w:val="Heading2"/>
        <w:ind w:hanging="0" w:start="0"/>
        <w:rPr/>
      </w:pPr>
      <w:r>
        <w:rPr/>
        <w:tab/>
        <w:t>Factor into prospective bankruptcy analysis</w:t>
      </w:r>
    </w:p>
    <w:p>
      <w:pPr>
        <w:pStyle w:val="Heading2"/>
        <w:ind w:hanging="0" w:start="0"/>
        <w:rPr/>
      </w:pPr>
      <w:r>
        <w:rPr/>
        <w:tab/>
        <w:t>Bankruptcy implications of a possible Morgan Stanley deal at this point?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GENERAL ASSESSMENT OF CA UTILITIES' OPTIONS FROM THEIR STANDPOINT</w:t>
      </w:r>
    </w:p>
    <w:p>
      <w:pPr>
        <w:pStyle w:val="Heading2"/>
        <w:ind w:hanging="0" w:start="0"/>
        <w:rPr/>
      </w:pPr>
      <w:r>
        <w:rPr/>
        <w:tab/>
        <w:t>General Assessment of Stakeholders, Likely Positions, etc.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REVIEW EES RELATIONSHIP WITH PG&amp;E AND SOCALED</w:t>
      </w:r>
    </w:p>
    <w:p>
      <w:pPr>
        <w:pStyle w:val="Heading2"/>
        <w:ind w:hanging="0" w:start="0"/>
        <w:rPr/>
      </w:pPr>
      <w:r>
        <w:rPr/>
        <w:tab/>
        <w:t>Negative CTC claim</w:t>
      </w:r>
    </w:p>
    <w:p>
      <w:pPr>
        <w:pStyle w:val="Heading2"/>
        <w:ind w:hanging="0" w:start="0"/>
        <w:rPr/>
      </w:pPr>
      <w:r>
        <w:rPr/>
        <w:tab/>
        <w:t>EES’s negative CTC projections for 2001</w:t>
      </w:r>
    </w:p>
    <w:p>
      <w:pPr>
        <w:pStyle w:val="Heading2"/>
        <w:ind w:hanging="0" w:start="0"/>
        <w:rPr/>
      </w:pPr>
      <w:r>
        <w:rPr/>
        <w:tab/>
        <w:t>Nature of negative CTC claim for bankruptcy "claim" purposes</w:t>
      </w:r>
    </w:p>
    <w:p>
      <w:pPr>
        <w:pStyle w:val="Heading3"/>
        <w:ind w:hanging="0" w:start="0"/>
        <w:rPr/>
      </w:pPr>
      <w:r>
        <w:rPr/>
        <w:t>--Customer, ESP entitlement to negative CTC</w:t>
      </w:r>
    </w:p>
    <w:p>
      <w:pPr>
        <w:pStyle w:val="Heading2"/>
        <w:ind w:hanging="0" w:start="0"/>
        <w:rPr/>
      </w:pPr>
      <w:r>
        <w:rPr/>
        <w:tab/>
        <w:t>Set-off issues in bankruptcy context</w:t>
      </w:r>
    </w:p>
    <w:p>
      <w:pPr>
        <w:pStyle w:val="Heading2"/>
        <w:ind w:hanging="0" w:start="0"/>
        <w:rPr/>
      </w:pPr>
      <w:r>
        <w:rPr/>
        <w:tab/>
        <w:t>Contractual, bankruptcy and business considerations of turning back customers to default service</w:t>
      </w:r>
    </w:p>
    <w:p>
      <w:pPr>
        <w:pStyle w:val="Heading2"/>
        <w:ind w:hanging="0" w:start="0"/>
        <w:rPr/>
      </w:pPr>
      <w:r>
        <w:rPr/>
        <w:tab/>
        <w:t>Likely actions of other retail marketers</w:t>
      </w:r>
    </w:p>
    <w:p>
      <w:pPr>
        <w:pStyle w:val="Heading1"/>
        <w:ind w:hanging="0" w:start="0"/>
        <w:rPr/>
      </w:pPr>
      <w:r>
        <w:rPr/>
        <w:tab/>
        <w:t>PRELIMINARY BANKRUPTCY PLANNING CONSIDERATIONS</w:t>
      </w:r>
    </w:p>
    <w:p>
      <w:pPr>
        <w:pStyle w:val="Heading2"/>
        <w:ind w:hanging="0" w:start="0"/>
        <w:rPr/>
      </w:pPr>
      <w:r>
        <w:rPr/>
        <w:tab/>
        <w:t>Pre-petition, post-petition set-offs</w:t>
      </w:r>
    </w:p>
    <w:p>
      <w:pPr>
        <w:pStyle w:val="Heading2"/>
        <w:ind w:hanging="0" w:start="0"/>
        <w:rPr/>
      </w:pPr>
      <w:r>
        <w:rPr/>
        <w:tab/>
        <w:t>Issues regarding set-offs prior to a bankruptcy filing</w:t>
      </w:r>
    </w:p>
    <w:p>
      <w:pPr>
        <w:pStyle w:val="Heading2"/>
        <w:ind w:hanging="0" w:start="0"/>
        <w:rPr/>
      </w:pPr>
      <w:r>
        <w:rPr/>
        <w:tab/>
        <w:t>Considerations affecting PG&amp;E's "ring fencing" moves</w:t>
      </w:r>
    </w:p>
    <w:p>
      <w:pPr>
        <w:pStyle w:val="Heading2"/>
        <w:ind w:hanging="0" w:start="0"/>
        <w:rPr/>
      </w:pPr>
      <w:r>
        <w:rPr/>
        <w:tab/>
        <w:t>EES turn back of customers to CA utilities; preference issues; negative CTC implications</w:t>
      </w:r>
    </w:p>
    <w:p>
      <w:pPr>
        <w:pStyle w:val="Heading2"/>
        <w:ind w:hanging="0" w:start="0"/>
        <w:rPr/>
      </w:pPr>
      <w:r>
        <w:rPr/>
        <w:tab/>
        <w:t>General contract assumption and rejection issues</w:t>
      </w:r>
    </w:p>
    <w:p>
      <w:pPr>
        <w:pStyle w:val="Heading2"/>
        <w:ind w:hanging="0" w:start="0"/>
        <w:rPr/>
      </w:pPr>
      <w:r>
        <w:rPr/>
        <w:tab/>
        <w:t>Likely alignment of creditor groups</w:t>
      </w:r>
    </w:p>
    <w:p>
      <w:pPr>
        <w:pStyle w:val="Heading2"/>
        <w:numPr>
          <w:ilvl w:val="0"/>
          <w:numId w:val="0"/>
        </w:numPr>
        <w:ind w:hanging="0" w:start="720" w:end="0"/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INTERRELATIONSHIP OF ONGOING LITIGATION AND BANKRUPTCY PROCEEDINGS</w:t>
      </w:r>
    </w:p>
    <w:p>
      <w:pPr>
        <w:pStyle w:val="Heading1"/>
        <w:ind w:hanging="0" w:start="0"/>
        <w:rPr/>
      </w:pPr>
      <w:r>
        <w:rPr/>
        <w:tab/>
        <w:t>BRIEF REVIEW OF RESULTS OF OTHER UTILITY BANKRUPTCIES</w:t>
      </w:r>
    </w:p>
    <w:p>
      <w:pPr>
        <w:pStyle w:val="Heading2"/>
        <w:ind w:hanging="0" w:start="0"/>
        <w:rPr/>
      </w:pPr>
      <w:r>
        <w:rPr/>
        <w:tab/>
        <w:t>Considerations likely to be relevant to a CA utility bankruptcy</w:t>
      </w:r>
    </w:p>
    <w:p>
      <w:pPr>
        <w:pStyle w:val="Heading1"/>
        <w:ind w:hanging="0" w:start="0"/>
        <w:rPr/>
      </w:pPr>
      <w:r>
        <w:rPr/>
        <w:tab/>
        <w:t>EFFECT OF 1¢/KWH EMERGENCY SURCHARGE ON EES AND NEGATIVE CTC</w:t>
      </w:r>
    </w:p>
    <w:p>
      <w:pPr>
        <w:pStyle w:val="Heading2"/>
        <w:ind w:hanging="0" w:start="0"/>
        <w:rPr/>
      </w:pPr>
      <w:r>
        <w:rPr/>
        <w:tab/>
        <w:t>Contract and bankruptcy implications</w:t>
      </w:r>
    </w:p>
    <w:p>
      <w:pPr>
        <w:pStyle w:val="Heading1"/>
        <w:ind w:hanging="0" w:start="0"/>
        <w:rPr/>
      </w:pPr>
      <w:r>
        <w:rPr/>
        <w:tab/>
        <w:t>CAL PX ISSUES</w:t>
      </w:r>
    </w:p>
    <w:p>
      <w:pPr>
        <w:pStyle w:val="Heading2"/>
        <w:ind w:hanging="0" w:start="0"/>
        <w:rPr/>
      </w:pPr>
      <w:r>
        <w:rPr/>
        <w:tab/>
        <w:t>Pre and post-bankruptcy filing considerations</w:t>
      </w:r>
    </w:p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NYC 364037.1  99980  00600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9:26 AM</w:t>
    </w:r>
    <w:r>
      <w:rPr/>
      <w:fldChar w:fldCharType="end"/>
    </w: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NYC 364037.1  99980  00600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9:26 AM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suff w:val="nothing"/>
      <w:lvlText w:val="%1."/>
      <w:lvlJc w:val="start"/>
      <w:pPr>
        <w:tabs>
          <w:tab w:val="num" w:pos="0"/>
        </w:tabs>
        <w:ind w:start="720" w:hanging="720"/>
      </w:pPr>
    </w:lvl>
    <w:lvl w:ilvl="1">
      <w:start w:val="1"/>
      <w:pStyle w:val="Heading2"/>
      <w:numFmt w:val="bullet"/>
      <w:suff w:val="nothing"/>
      <w:lvlText w:val=""/>
      <w:lvlJc w:val="start"/>
      <w:pPr>
        <w:tabs>
          <w:tab w:val="num" w:pos="0"/>
        </w:tabs>
        <w:ind w:start="1440" w:hanging="720"/>
      </w:pPr>
      <w:rPr>
        <w:rFonts w:ascii="Symbol" w:hAnsi="Symbol" w:cs="Symbol" w:hint="default"/>
      </w:r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1584" w:hanging="144"/>
      </w:pPr>
    </w:lvl>
    <w:lvl w:ilvl="3">
      <w:start w:val="1"/>
      <w:pStyle w:val="Heading4"/>
      <w:numFmt w:val="lowerLetter"/>
      <w:suff w:val="nothing"/>
      <w:lvlText w:val="(%4)"/>
      <w:lvlJc w:val="end"/>
      <w:pPr>
        <w:tabs>
          <w:tab w:val="num" w:pos="0"/>
        </w:tabs>
        <w:ind w:start="2520" w:hanging="360"/>
      </w:pPr>
    </w:lvl>
    <w:lvl w:ilvl="4">
      <w:start w:val="1"/>
      <w:pStyle w:val="Heading5"/>
      <w:numFmt w:val="decimal"/>
      <w:suff w:val="nothing"/>
      <w:lvlText w:val="(%5)"/>
      <w:lvlJc w:val="end"/>
      <w:pPr>
        <w:tabs>
          <w:tab w:val="num" w:pos="0"/>
        </w:tabs>
        <w:ind w:start="3240" w:hanging="360"/>
      </w:pPr>
    </w:lvl>
    <w:lvl w:ilvl="5">
      <w:start w:val="1"/>
      <w:pStyle w:val="Heading6"/>
      <w:numFmt w:val="lowerRoman"/>
      <w:suff w:val="nothing"/>
      <w:lvlText w:val="(%6)"/>
      <w:lvlJc w:val="start"/>
      <w:pPr>
        <w:tabs>
          <w:tab w:val="num" w:pos="0"/>
        </w:tabs>
        <w:ind w:start="3600" w:hanging="360"/>
      </w:pPr>
    </w:lvl>
    <w:lvl w:ilvl="6">
      <w:start w:val="1"/>
      <w:pStyle w:val="Heading7"/>
      <w:numFmt w:val="lowerLetter"/>
      <w:suff w:val="nothing"/>
      <w:lvlText w:val="(%7)"/>
      <w:lvlJc w:val="start"/>
      <w:pPr>
        <w:tabs>
          <w:tab w:val="num" w:pos="0"/>
        </w:tabs>
        <w:ind w:start="3960" w:hanging="360"/>
      </w:pPr>
    </w:lvl>
    <w:lvl w:ilvl="7">
      <w:start w:val="1"/>
      <w:pStyle w:val="Heading8"/>
      <w:numFmt w:val="decimal"/>
      <w:suff w:val="nothing"/>
      <w:lvlText w:val="(%8)"/>
      <w:lvlJc w:val="start"/>
      <w:pPr>
        <w:tabs>
          <w:tab w:val="num" w:pos="0"/>
        </w:tabs>
        <w:ind w:start="4320" w:hanging="360"/>
      </w:pPr>
    </w:lvl>
    <w:lvl w:ilvl="8">
      <w:start w:val="1"/>
      <w:pStyle w:val="Heading9"/>
      <w:numFmt w:val="lowerRoman"/>
      <w:suff w:val="nothing"/>
      <w:lvlText w:val="(%9)"/>
      <w:lvlJc w:val="start"/>
      <w:pPr>
        <w:tabs>
          <w:tab w:val="num" w:pos="0"/>
        </w:tabs>
        <w:ind w:start="468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240" w:after="240"/>
      <w:outlineLvl w:val="0"/>
    </w:pPr>
    <w:rPr/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tabs>
        <w:tab w:val="clear" w:pos="720"/>
        <w:tab w:val="left" w:pos="1800" w:leader="none"/>
      </w:tabs>
      <w:outlineLvl w:val="2"/>
    </w:pPr>
    <w:rPr/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1">
    <w:name w:val="WW8Num11z1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480" w:after="480"/>
      <w:jc w:val="center"/>
      <w:outlineLvl w:val="0"/>
    </w:pPr>
    <w:rPr>
      <w:b/>
      <w:kern w:val="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5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2001-01-07T20:00:00Z</dcterms:created>
  <dc:creator>IS Department</dc:creator>
  <dc:description/>
  <cp:keywords>NYC 364037.1 99980 00600 1/7/01 4:50:53 PM</cp:keywords>
  <dc:language>en-CA</dc:language>
  <cp:lastModifiedBy>IS Department</cp:lastModifiedBy>
  <cp:lastPrinted>2001-01-07T16:50:00Z</cp:lastPrinted>
  <dcterms:modified xsi:type="dcterms:W3CDTF">2001-01-07T20:00:00Z</dcterms:modified>
  <cp:revision>2</cp:revision>
  <dc:subject/>
  <dc:title>Proposed Agenda for Bankruptcy Analysis Meeting</dc:title>
</cp:coreProperties>
</file>