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Mike McConnell and Jeff Shankman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Elsa Piekielniak and Gary Hickerson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Agriculture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Ag Market and Skilling Meeting</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The following is a list of questions that were not adequately answered in the meeting Friday with Skilling.  We have listed each question with the answer given in the meeting and commentary including the more thorough answer to the question.  We had all the information given below on Friday but were not given/ or we did not take the opportunity to answer more fully.  I can certainly understand everyone’s frustration with the meeting but understand we are not all well versed in the Metals, Water, and Resid markets and are not prepared to debate the merits and issues of each in comparison to Ag.  However, I know it was my responsibility to keep the focus of the meeting on track with our strategy focus.  Lets discuss at your convenience.</w:t>
      </w:r>
    </w:p>
    <w:p>
      <w:pPr>
        <w:pStyle w:val="Body"/>
        <w:rPr/>
      </w:pPr>
      <w:r>
        <w:rPr/>
      </w:r>
    </w:p>
    <w:p>
      <w:pPr>
        <w:pStyle w:val="Body"/>
        <w:numPr>
          <w:ilvl w:val="0"/>
          <w:numId w:val="2"/>
        </w:numPr>
        <w:rPr>
          <w:b/>
          <w:bCs/>
        </w:rPr>
      </w:pPr>
      <w:r>
        <w:rPr>
          <w:b/>
          <w:bCs/>
        </w:rPr>
        <w:t>Where is the inefficiency in the market?</w:t>
      </w:r>
    </w:p>
    <w:p>
      <w:pPr>
        <w:pStyle w:val="Body"/>
        <w:ind w:start="720" w:end="0"/>
        <w:rPr>
          <w:b/>
          <w:bCs/>
        </w:rPr>
      </w:pPr>
      <w:r>
        <w:rPr>
          <w:b/>
          <w:bCs/>
        </w:rPr>
      </w:r>
    </w:p>
    <w:p>
      <w:pPr>
        <w:pStyle w:val="Normal"/>
        <w:ind w:start="720" w:end="0"/>
        <w:rPr/>
      </w:pPr>
      <w:r>
        <w:rPr>
          <w:b/>
          <w:bCs/>
          <w:i/>
          <w:iCs/>
          <w:sz w:val="20"/>
          <w:u w:val="single"/>
        </w:rPr>
        <w:t>Response in meeting:</w:t>
      </w:r>
      <w:r>
        <w:rPr>
          <w:sz w:val="20"/>
        </w:rPr>
        <w:t xml:space="preserve">  The inefficiency is in the fact that the needs of market participants at both ends of the value chain are not being met.  From branded food companies who want the ability to manage margins more effectively to feedlot operators who are looking for any way to manage volatility and elevator operators who need more options for their farmer constituents, all showed significant interest in a long dated pricing tool.  This market has not changed in 100 years; the major players have not been forced to meet the needs of customers since they dominate the physical market.  All the market participants (excluding the vertically integrated players) and politicians in Washington would embrace a new entrant into this industry.</w:t>
      </w:r>
    </w:p>
    <w:p>
      <w:pPr>
        <w:pStyle w:val="Normal"/>
        <w:ind w:start="720" w:end="0"/>
        <w:rPr>
          <w:sz w:val="20"/>
        </w:rPr>
      </w:pPr>
      <w:r>
        <w:rPr>
          <w:sz w:val="20"/>
        </w:rPr>
      </w:r>
    </w:p>
    <w:p>
      <w:pPr>
        <w:pStyle w:val="Normal"/>
        <w:ind w:start="720" w:end="0"/>
        <w:rPr/>
      </w:pPr>
      <w:r>
        <w:rPr>
          <w:b/>
          <w:bCs/>
          <w:i/>
          <w:iCs/>
          <w:sz w:val="20"/>
          <w:u w:val="single"/>
        </w:rPr>
        <w:t>Comments:</w:t>
      </w:r>
      <w:r>
        <w:rPr>
          <w:i/>
          <w:iCs/>
          <w:sz w:val="20"/>
        </w:rPr>
        <w:t xml:space="preserve">  </w:t>
      </w:r>
      <w:r>
        <w:rPr>
          <w:sz w:val="20"/>
        </w:rPr>
        <w:t>By Skilling’s reaction, market participant needs’ not being met was not his definition of an inefficient market.  I think he was looking for an analysis of the physical market and opportunities created by inefficient transport options, poor information flow between participants, etc.  My understanding of why companies like Lansing Grain can survive is because Cargill (representative of the dominant players) is very fragmented in that they dominate specific areas and only certain crops. They do not communicate between different areas and miss arb opportunities across the country.</w:t>
      </w:r>
    </w:p>
    <w:p>
      <w:pPr>
        <w:pStyle w:val="Normal"/>
        <w:ind w:start="720" w:end="0"/>
        <w:rPr>
          <w:sz w:val="20"/>
        </w:rPr>
      </w:pPr>
      <w:r>
        <w:rPr>
          <w:sz w:val="20"/>
        </w:rPr>
      </w:r>
    </w:p>
    <w:p>
      <w:pPr>
        <w:pStyle w:val="BodyTextIndent"/>
        <w:rPr/>
      </w:pPr>
      <w:r>
        <w:rPr/>
        <w:t>If you look on p.6 of the Appendix, it shows the concentration of the “Big 3”.  The slide shows the “Big 3” hold approximately 25% of the elevator capacity and a controlling interest of the processing capacity.  The point of the slide shows their concentration is less than originally thought; however, we do not know what % of the corn feed market they hold.  As we discussed, we are not looking to become a vertically integrated player competing with the “Big 3” on processing and transportation margins, which leads us to the next question.</w:t>
      </w:r>
    </w:p>
    <w:p>
      <w:pPr>
        <w:pStyle w:val="Normal"/>
        <w:ind w:start="720" w:end="0"/>
        <w:rPr>
          <w:sz w:val="20"/>
        </w:rPr>
      </w:pPr>
      <w:r>
        <w:rPr>
          <w:sz w:val="20"/>
        </w:rPr>
      </w:r>
    </w:p>
    <w:p>
      <w:pPr>
        <w:pStyle w:val="Normal"/>
        <w:numPr>
          <w:ilvl w:val="0"/>
          <w:numId w:val="2"/>
        </w:numPr>
        <w:rPr>
          <w:b/>
          <w:bCs/>
          <w:sz w:val="20"/>
        </w:rPr>
      </w:pPr>
      <w:r>
        <w:rPr>
          <w:b/>
          <w:bCs/>
          <w:sz w:val="20"/>
        </w:rPr>
        <w:t>How can we compete with Cargill?</w:t>
      </w:r>
    </w:p>
    <w:p>
      <w:pPr>
        <w:pStyle w:val="Normal"/>
        <w:ind w:start="720" w:end="0"/>
        <w:rPr>
          <w:b/>
          <w:bCs/>
          <w:sz w:val="20"/>
        </w:rPr>
      </w:pPr>
      <w:r>
        <w:rPr>
          <w:b/>
          <w:bCs/>
          <w:sz w:val="20"/>
        </w:rPr>
      </w:r>
    </w:p>
    <w:p>
      <w:pPr>
        <w:pStyle w:val="Normal"/>
        <w:ind w:start="720" w:end="0"/>
        <w:rPr/>
      </w:pPr>
      <w:r>
        <w:rPr>
          <w:b/>
          <w:bCs/>
          <w:i/>
          <w:iCs/>
          <w:sz w:val="20"/>
          <w:u w:val="single"/>
        </w:rPr>
        <w:t>Response in meeting:</w:t>
      </w:r>
      <w:r>
        <w:rPr>
          <w:sz w:val="20"/>
        </w:rPr>
        <w:t xml:space="preserve">  Consistent with my comments above, our strategy is not to compete directly with Cargill.  Our mission is not to become another vertically integrated company burdened by assets.  The integrated strategy is to maintain market share by running a low margin business.  Our strategy is to identify gaps in the supply chain and exploit those opportunities (i.e. the long dated product).</w:t>
      </w:r>
    </w:p>
    <w:p>
      <w:pPr>
        <w:pStyle w:val="Normal"/>
        <w:ind w:start="720" w:end="0"/>
        <w:rPr>
          <w:sz w:val="20"/>
        </w:rPr>
      </w:pPr>
      <w:r>
        <w:rPr>
          <w:sz w:val="20"/>
        </w:rPr>
      </w:r>
    </w:p>
    <w:p>
      <w:pPr>
        <w:pStyle w:val="Normal"/>
        <w:ind w:start="720" w:end="0"/>
        <w:rPr/>
      </w:pPr>
      <w:r>
        <w:rPr>
          <w:b/>
          <w:bCs/>
          <w:i/>
          <w:iCs/>
          <w:sz w:val="20"/>
          <w:u w:val="single"/>
        </w:rPr>
        <w:t>Comments:</w:t>
      </w:r>
      <w:r>
        <w:rPr>
          <w:sz w:val="20"/>
        </w:rPr>
        <w:t xml:space="preserve">  While we did spend time discussing the long dated product with Jeff, we did not make clear that this was only our entry strategy.  By developing this opportunity and creating a position in this industry, we would develop the needed information sources and physical expertise to allow us to open up the Basis market.  While Basis currently trades in the cash market, there is no mechanism for real time financial basis trading.  This is where the utilization of the EOL platform would be a huge advantage.  Our research work tells us the market needs and wants a Basis trading tool and Enron combined with experienced physical traders can develop Hub trading.  Our plan was to create liquidity for the long dated product, put it on EOL and attract participants to the site, add the Basis market functionality and ultimately CBOT Look alike contracts.</w:t>
      </w:r>
    </w:p>
    <w:p>
      <w:pPr>
        <w:pStyle w:val="Normal"/>
        <w:ind w:start="720" w:end="0"/>
        <w:rPr>
          <w:sz w:val="20"/>
        </w:rPr>
      </w:pPr>
      <w:r>
        <w:rPr>
          <w:sz w:val="20"/>
        </w:rPr>
      </w:r>
    </w:p>
    <w:p>
      <w:pPr>
        <w:pStyle w:val="Normal"/>
        <w:numPr>
          <w:ilvl w:val="0"/>
          <w:numId w:val="2"/>
        </w:numPr>
        <w:rPr>
          <w:b/>
          <w:bCs/>
          <w:sz w:val="20"/>
        </w:rPr>
      </w:pPr>
      <w:r>
        <w:rPr>
          <w:b/>
          <w:bCs/>
          <w:sz w:val="20"/>
        </w:rPr>
        <w:t>This market is a term market (one crop cycle at a time).  How can we offer anything different?</w:t>
      </w:r>
    </w:p>
    <w:p>
      <w:pPr>
        <w:pStyle w:val="Normal"/>
        <w:ind w:start="720" w:end="0"/>
        <w:rPr>
          <w:b/>
          <w:bCs/>
          <w:sz w:val="20"/>
        </w:rPr>
      </w:pPr>
      <w:r>
        <w:rPr>
          <w:b/>
          <w:bCs/>
          <w:sz w:val="20"/>
        </w:rPr>
      </w:r>
    </w:p>
    <w:p>
      <w:pPr>
        <w:pStyle w:val="Normal"/>
        <w:ind w:start="720" w:end="0"/>
        <w:rPr/>
      </w:pPr>
      <w:r>
        <w:rPr>
          <w:b/>
          <w:bCs/>
          <w:i/>
          <w:iCs/>
          <w:sz w:val="20"/>
          <w:u w:val="single"/>
        </w:rPr>
        <w:t>Response in meeting:</w:t>
      </w:r>
      <w:r>
        <w:rPr>
          <w:sz w:val="20"/>
        </w:rPr>
        <w:t xml:space="preserve">  This may not be exactly how the question was phrased, but Skilling made the point and questioned our ability to produce anything different and market receptivity.  We told him about our curve development with the Research team but quickly conceded this is just a price forecasting tool and we had a strategy to attain the needed long position.  We discussed our research with large farmers and elevators and their interest in long dated markets.  He didn’t buy it and pointed out the “hedge to arrive” debacle.  Our legal team has looked at this issue and while we understand there are risks in dealing with this market segment, we are developing products that are more enforceable like netback type structures.  We also talked about doing deals with large coops and elevators of a certain size, not your family farm.  </w:t>
      </w:r>
    </w:p>
    <w:p>
      <w:pPr>
        <w:pStyle w:val="Normal"/>
        <w:ind w:start="720" w:end="0"/>
        <w:rPr>
          <w:sz w:val="20"/>
        </w:rPr>
      </w:pPr>
      <w:r>
        <w:rPr>
          <w:sz w:val="20"/>
        </w:rPr>
      </w:r>
    </w:p>
    <w:p>
      <w:pPr>
        <w:pStyle w:val="Normal"/>
        <w:ind w:start="720" w:end="0"/>
        <w:rPr/>
      </w:pPr>
      <w:r>
        <w:rPr>
          <w:b/>
          <w:bCs/>
          <w:i/>
          <w:iCs/>
          <w:sz w:val="20"/>
          <w:u w:val="single"/>
        </w:rPr>
        <w:t>Comments:</w:t>
      </w:r>
      <w:r>
        <w:rPr>
          <w:sz w:val="20"/>
        </w:rPr>
        <w:t xml:space="preserve">  We did not discuss the fundamentals that go into the curve and our ability to manage the risk by using weather hedges, competitive intelligence to monitor the export situation, our regulatory expertise to evaluate changes in subsidy programs and resulting changes in planted acreage.  We did not discuss our strategy to acquire physical trading expertise (build or buy) and the benefit of flow information from the trade and strategic assets.  We touched on but did not discuss our government pilot program or our VPP strategy.</w:t>
      </w:r>
    </w:p>
    <w:p>
      <w:pPr>
        <w:pStyle w:val="Normal"/>
        <w:ind w:start="720" w:end="0"/>
        <w:rPr>
          <w:sz w:val="20"/>
        </w:rPr>
      </w:pPr>
      <w:r>
        <w:rPr>
          <w:sz w:val="20"/>
        </w:rPr>
      </w:r>
    </w:p>
    <w:p>
      <w:pPr>
        <w:pStyle w:val="Normal"/>
        <w:numPr>
          <w:ilvl w:val="0"/>
          <w:numId w:val="2"/>
        </w:numPr>
        <w:rPr>
          <w:b/>
          <w:bCs/>
          <w:sz w:val="20"/>
        </w:rPr>
      </w:pPr>
      <w:r>
        <w:rPr>
          <w:b/>
          <w:bCs/>
          <w:sz w:val="20"/>
        </w:rPr>
        <w:t>Where is the Value?</w:t>
      </w:r>
    </w:p>
    <w:p>
      <w:pPr>
        <w:pStyle w:val="Normal"/>
        <w:ind w:start="720" w:end="0"/>
        <w:rPr>
          <w:b/>
          <w:bCs/>
          <w:sz w:val="20"/>
        </w:rPr>
      </w:pPr>
      <w:r>
        <w:rPr>
          <w:b/>
          <w:bCs/>
          <w:sz w:val="20"/>
        </w:rPr>
      </w:r>
    </w:p>
    <w:p>
      <w:pPr>
        <w:pStyle w:val="Normal"/>
        <w:ind w:start="720" w:end="0"/>
        <w:rPr/>
      </w:pPr>
      <w:r>
        <w:rPr>
          <w:b/>
          <w:bCs/>
          <w:i/>
          <w:iCs/>
          <w:sz w:val="20"/>
          <w:u w:val="single"/>
        </w:rPr>
        <w:t>Response in meeting:</w:t>
      </w:r>
      <w:r>
        <w:rPr>
          <w:sz w:val="20"/>
        </w:rPr>
        <w:t xml:space="preserve">  Our strategy is develop a position by creating a long dated market.  We have put significant time into validating the needs in the market that are currently not being met (our definition of inefficiency) and feel confident this opportunity exists. </w:t>
      </w:r>
    </w:p>
    <w:p>
      <w:pPr>
        <w:pStyle w:val="Normal"/>
        <w:ind w:start="720" w:end="0"/>
        <w:rPr>
          <w:sz w:val="20"/>
        </w:rPr>
      </w:pPr>
      <w:r>
        <w:rPr>
          <w:sz w:val="20"/>
        </w:rPr>
      </w:r>
    </w:p>
    <w:p>
      <w:pPr>
        <w:pStyle w:val="Normal"/>
        <w:ind w:start="720" w:end="0"/>
        <w:rPr/>
      </w:pPr>
      <w:r>
        <w:rPr>
          <w:b/>
          <w:bCs/>
          <w:i/>
          <w:iCs/>
          <w:sz w:val="20"/>
          <w:u w:val="single"/>
        </w:rPr>
        <w:t>Comments:</w:t>
      </w:r>
      <w:r>
        <w:rPr>
          <w:sz w:val="20"/>
        </w:rPr>
        <w:t xml:space="preserve">  We never got to the following since Skilling did not see the above stated opportunity:  the return on this product will be limited to the first two years since it will not take long for competition to enter this space.  We plan to ultimately put the long dated pricing on EOL creating liquidity on the site, add the Basis market trades (about 6 to 8 Hubs) and lastly CBOT look alikes once sufficient liquidity is built.</w:t>
      </w:r>
    </w:p>
    <w:p>
      <w:pPr>
        <w:pStyle w:val="Normal"/>
        <w:ind w:start="720" w:end="0"/>
        <w:rPr>
          <w:sz w:val="20"/>
        </w:rPr>
      </w:pPr>
      <w:r>
        <w:rPr>
          <w:sz w:val="20"/>
        </w:rPr>
      </w:r>
    </w:p>
    <w:p>
      <w:pPr>
        <w:pStyle w:val="Normal"/>
        <w:ind w:start="720" w:end="0"/>
        <w:rPr>
          <w:sz w:val="20"/>
        </w:rPr>
      </w:pPr>
      <w:r>
        <w:rPr>
          <w:sz w:val="20"/>
        </w:rPr>
        <w:t>In all of our discussions with market participants, consultants, banks, politicians, etc. – They all were excited and welcoming to our possible entry given consolidation issues over the years and our reputation as innovators.</w:t>
      </w:r>
    </w:p>
    <w:p>
      <w:pPr>
        <w:pStyle w:val="Normal"/>
        <w:ind w:start="720" w:end="0"/>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2001-06-04T15:42:00Z</dcterms:created>
  <dc:creator>cjones11</dc:creator>
  <dc:description/>
  <dc:language>en-CA</dc:language>
  <cp:lastModifiedBy>epiekiel</cp:lastModifiedBy>
  <cp:lastPrinted>2001-06-04T12:47:00Z</cp:lastPrinted>
  <dcterms:modified xsi:type="dcterms:W3CDTF">2001-06-04T15:42:00Z</dcterms:modified>
  <cp:revision>2</cp:revision>
  <dc:subject/>
  <dc:title>Better, Faster, Simpler Memo </dc:title>
</cp:coreProperties>
</file>