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UC"/>
        <w:keepNext w:val="true"/>
        <w:spacing w:before="240" w:after="360"/>
        <w:jc w:val="center"/>
        <w:rPr/>
      </w:pPr>
      <w:r>
        <w:rPr/>
        <w:t>UNITED STATES OF AMERICA</w:t>
        <w:br/>
        <w:t>BEFORE THE</w:t>
        <w:br/>
        <w:t>FEDERAL ENERGY REGULATORY COMMISSION</w:t>
      </w:r>
    </w:p>
    <w:tbl>
      <w:tblPr>
        <w:tblW w:w="5000" w:type="pct"/>
        <w:jc w:val="start"/>
        <w:tblInd w:w="0" w:type="dxa"/>
        <w:tblLayout w:type="fixed"/>
        <w:tblCellMar>
          <w:top w:w="0" w:type="dxa"/>
          <w:start w:w="108" w:type="dxa"/>
          <w:bottom w:w="0" w:type="dxa"/>
          <w:end w:w="108" w:type="dxa"/>
        </w:tblCellMar>
      </w:tblPr>
      <w:tblGrid>
        <w:gridCol w:w="4848"/>
        <w:gridCol w:w="271"/>
        <w:gridCol w:w="4241"/>
      </w:tblGrid>
      <w:tr>
        <w:trPr/>
        <w:tc>
          <w:tcPr>
            <w:tcW w:w="4848" w:type="dxa"/>
            <w:tcBorders/>
          </w:tcPr>
          <w:p>
            <w:pPr>
              <w:pStyle w:val="Normal"/>
              <w:spacing w:before="240" w:after="0"/>
              <w:ind w:hanging="720" w:start="720" w:end="0"/>
              <w:rPr/>
            </w:pPr>
            <w:r>
              <w:rPr/>
              <w:t>Dynegy Midwest Generation, Inc. and Dynegy Power Marketing, Inc.</w:t>
            </w:r>
          </w:p>
        </w:tc>
        <w:tc>
          <w:tcPr>
            <w:tcW w:w="271" w:type="dxa"/>
            <w:tcBorders/>
          </w:tcPr>
          <w:p>
            <w:pPr>
              <w:pStyle w:val="Normal"/>
              <w:spacing w:before="240" w:after="0"/>
              <w:rPr/>
            </w:pPr>
            <w:r>
              <w:rPr/>
              <w:t>))</w:t>
            </w:r>
          </w:p>
        </w:tc>
        <w:tc>
          <w:tcPr>
            <w:tcW w:w="4241" w:type="dxa"/>
            <w:tcBorders/>
          </w:tcPr>
          <w:p>
            <w:pPr>
              <w:pStyle w:val="Normal"/>
              <w:snapToGrid w:val="false"/>
              <w:spacing w:before="240" w:after="0"/>
              <w:rPr/>
            </w:pPr>
            <w:r>
              <w:rPr/>
            </w:r>
          </w:p>
        </w:tc>
      </w:tr>
      <w:tr>
        <w:trPr/>
        <w:tc>
          <w:tcPr>
            <w:tcW w:w="4848" w:type="dxa"/>
            <w:tcBorders/>
          </w:tcPr>
          <w:p>
            <w:pPr>
              <w:pStyle w:val="Normal"/>
              <w:snapToGrid w:val="false"/>
              <w:rPr/>
            </w:pPr>
            <w:r>
              <w:rPr/>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jc w:val="end"/>
              <w:rPr/>
            </w:pPr>
            <w:r>
              <w:rPr/>
              <w:t>Complainants</w:t>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snapToGrid w:val="false"/>
              <w:rPr/>
            </w:pPr>
            <w:r>
              <w:rPr/>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jc w:val="center"/>
              <w:rPr/>
            </w:pPr>
            <w:r>
              <w:rPr/>
              <w:t>v.</w:t>
            </w:r>
          </w:p>
        </w:tc>
        <w:tc>
          <w:tcPr>
            <w:tcW w:w="271" w:type="dxa"/>
            <w:tcBorders/>
          </w:tcPr>
          <w:p>
            <w:pPr>
              <w:pStyle w:val="Normal"/>
              <w:rPr/>
            </w:pPr>
            <w:r>
              <w:rPr/>
              <w:t>)</w:t>
            </w:r>
          </w:p>
        </w:tc>
        <w:tc>
          <w:tcPr>
            <w:tcW w:w="4241" w:type="dxa"/>
            <w:tcBorders/>
          </w:tcPr>
          <w:p>
            <w:pPr>
              <w:pStyle w:val="Normal"/>
              <w:rPr/>
            </w:pPr>
            <w:r>
              <w:rPr/>
              <w:t>Docket No. EL02</w:t>
              <w:noBreakHyphen/>
              <w:t>6</w:t>
              <w:noBreakHyphen/>
              <w:t>00</w:t>
            </w:r>
          </w:p>
        </w:tc>
      </w:tr>
      <w:tr>
        <w:trPr/>
        <w:tc>
          <w:tcPr>
            <w:tcW w:w="4848" w:type="dxa"/>
            <w:tcBorders/>
          </w:tcPr>
          <w:p>
            <w:pPr>
              <w:pStyle w:val="Normal"/>
              <w:snapToGrid w:val="false"/>
              <w:rPr/>
            </w:pPr>
            <w:r>
              <w:rPr/>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rPr/>
            </w:pPr>
            <w:r>
              <w:rPr/>
              <w:t>Commonwealth Edison Company</w:t>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snapToGrid w:val="false"/>
              <w:jc w:val="center"/>
              <w:rPr/>
            </w:pPr>
            <w:r>
              <w:rPr/>
            </w:r>
          </w:p>
        </w:tc>
        <w:tc>
          <w:tcPr>
            <w:tcW w:w="271" w:type="dxa"/>
            <w:tcBorders/>
          </w:tcPr>
          <w:p>
            <w:pPr>
              <w:pStyle w:val="Normal"/>
              <w:rPr/>
            </w:pPr>
            <w:r>
              <w:rPr/>
              <w:t>)</w:t>
            </w:r>
          </w:p>
        </w:tc>
        <w:tc>
          <w:tcPr>
            <w:tcW w:w="4241" w:type="dxa"/>
            <w:tcBorders/>
          </w:tcPr>
          <w:p>
            <w:pPr>
              <w:pStyle w:val="Normal"/>
              <w:snapToGrid w:val="false"/>
              <w:rPr/>
            </w:pPr>
            <w:r>
              <w:rPr/>
            </w:r>
          </w:p>
        </w:tc>
      </w:tr>
      <w:tr>
        <w:trPr/>
        <w:tc>
          <w:tcPr>
            <w:tcW w:w="4848" w:type="dxa"/>
            <w:tcBorders/>
          </w:tcPr>
          <w:p>
            <w:pPr>
              <w:pStyle w:val="Normal"/>
              <w:jc w:val="end"/>
              <w:rPr/>
            </w:pPr>
            <w:r>
              <w:rPr/>
              <w:t>Respondent</w:t>
            </w:r>
          </w:p>
        </w:tc>
        <w:tc>
          <w:tcPr>
            <w:tcW w:w="271" w:type="dxa"/>
            <w:tcBorders/>
          </w:tcPr>
          <w:p>
            <w:pPr>
              <w:pStyle w:val="Normal"/>
              <w:rPr/>
            </w:pPr>
            <w:r>
              <w:rPr/>
              <w:t>)</w:t>
            </w:r>
          </w:p>
        </w:tc>
        <w:tc>
          <w:tcPr>
            <w:tcW w:w="4241" w:type="dxa"/>
            <w:tcBorders/>
          </w:tcPr>
          <w:p>
            <w:pPr>
              <w:pStyle w:val="Normal"/>
              <w:snapToGrid w:val="false"/>
              <w:rPr/>
            </w:pPr>
            <w:r>
              <w:rPr/>
            </w:r>
          </w:p>
        </w:tc>
      </w:tr>
    </w:tbl>
    <w:p>
      <w:pPr>
        <w:pStyle w:val="Title"/>
        <w:rPr/>
      </w:pPr>
      <w:r>
        <w:rPr/>
        <w:t>MOTION TO INTERVENE, PROTEST, request for denial of fast track processing and request for privilege treatment order of AES NewEnergy</w:t>
      </w:r>
    </w:p>
    <w:p>
      <w:pPr>
        <w:pStyle w:val="BodyDblSp5"/>
        <w:rPr/>
      </w:pPr>
      <w:r>
        <w:rPr/>
        <w:t>Pursuant to Rules 211, 212 and 214 of the Federal Energy Regulatory Commission’s (“Commission”) Rules of Practice and Procedure, AES NewEnergy, Inc. (“AES NewEnergy”) requests permission to intervene in the above-captioned proceeding, protests the Complainant’s filing, requests that the Commission deny Complainants’ request for Fast Track processing, and requests that the Commission enter a standard protective order regarding pricing and confidential information, as more fully described below.</w:t>
      </w:r>
    </w:p>
    <w:p>
      <w:pPr>
        <w:pStyle w:val="Heading1"/>
        <w:rPr/>
      </w:pPr>
      <w:r>
        <w:rPr/>
        <w:t>Introduction</w:t>
      </w:r>
    </w:p>
    <w:p>
      <w:pPr>
        <w:pStyle w:val="BodyDblSp5"/>
        <w:rPr/>
      </w:pPr>
      <w:r>
        <w:rPr/>
        <w:t>On October 17, 2001, Dynegy Midwest Generation, Inc. and Dynegy Power Marketing, Inc. (“Dynegy”) tendered for filing a complaint against ComEd.</w:t>
      </w:r>
    </w:p>
    <w:p>
      <w:pPr>
        <w:pStyle w:val="BodyDblSp5"/>
        <w:rPr/>
      </w:pPr>
      <w:r>
        <w:rPr/>
        <w:t>In its complaint, Dynegy alleges that ComEd has failed to properly enforce the network resource designation provisions of its Open Access Transmission Tariff (“OATT”).  Dynegy further alleges that ComEd’s actions jeopardize reliability, deprive Dynegy of revenues for capacity sales, and permit the improper prioritization of network transmission service from bumping and curtailment.</w:t>
      </w:r>
    </w:p>
    <w:p>
      <w:pPr>
        <w:pStyle w:val="Heading1"/>
        <w:rPr/>
      </w:pPr>
      <w:r>
        <w:rPr/>
        <w:t>MOTION TO INTERVENE</w:t>
      </w:r>
    </w:p>
    <w:p>
      <w:pPr>
        <w:pStyle w:val="BodyDblSp5"/>
        <w:rPr/>
      </w:pPr>
      <w:r>
        <w:rPr/>
        <w:t>AES NewEnergy is a [Delaware] corporation having its principal place of business at 309 West Washington Street, Chicago, Illinois ________.  AES NewEnergy has been certified by the Illinois Commerce Commission to act as an alternative retail electric supplier to serve customers located within the service territory of the respondent, Commonwealth Edison Company (“ComEd”).  AES NewEnergy is America’s leading retail electricity provider, offering commercial and industrial customers a variety of energy-related products and services in competitive markets throughout the country.  AES NewEnergy is a subsidiary of AES Corporation, a leading global power company comprised of competitive generation, distribution and retail businesses around the world.  In Illinois, AES NewEnergy is one of the leading providers of discounted electric service to retail customers.</w:t>
      </w:r>
    </w:p>
    <w:p>
      <w:pPr>
        <w:pStyle w:val="BodyDblSp5"/>
        <w:rPr/>
      </w:pPr>
      <w:r>
        <w:rPr/>
        <w:t>AES NewEnergy’s interests are directly at stake in the proceeding initiated by Dynegy, even though Dynegy did not bother to serve AES NewEnergy with a copy of its complaint.</w:t>
      </w:r>
      <w:bookmarkStart w:id="0" w:name="move_here"/>
      <w:bookmarkEnd w:id="0"/>
      <w:r>
        <w:rPr>
          <w:rStyle w:val="FootnoteCharacters"/>
        </w:rPr>
        <w:t xml:space="preserve"> </w:t>
      </w:r>
      <w:r>
        <w:rPr>
          <w:rStyle w:val="FootnoteCharacters"/>
          <w:rStyle w:val="FootnoteReference"/>
        </w:rPr>
        <w:footnoteReference w:id="2"/>
      </w:r>
      <w:r>
        <w:rPr/>
        <w:t xml:space="preserve">  Dynegy alleges specifically that it is AES NewEnergy’s contract with Dynegy that is improperly being designated a network resource.  If the Commission grants the relief requested by Dynegy, AES NewEnergy will be directly affected as its power may become subject to a different service priority.  No other party can adequately protect AES NewEnergy’s interests.  Accordingly, AES NewEnergy requests permission to intervene and participate in this proceeding to protect its interests as they may appear.</w:t>
      </w:r>
    </w:p>
    <w:p>
      <w:pPr>
        <w:pStyle w:val="Heading1"/>
        <w:rPr/>
      </w:pPr>
      <w:r>
        <w:rPr/>
        <w:t>SERVICE AND COMMUNICATIONS</w:t>
      </w:r>
    </w:p>
    <w:p>
      <w:pPr>
        <w:pStyle w:val="BodyDblSp5"/>
        <w:rPr/>
      </w:pPr>
      <w:r>
        <w:rPr/>
        <w:t>Communications, correspondence, and pleadings regarding this proceeding should be sent to the following, who should also be included on the Commission’s official service list:</w:t>
      </w:r>
    </w:p>
    <w:tbl>
      <w:tblPr>
        <w:tblW w:w="5000" w:type="pct"/>
        <w:jc w:val="start"/>
        <w:tblInd w:w="0" w:type="dxa"/>
        <w:tblLayout w:type="fixed"/>
        <w:tblCellMar>
          <w:top w:w="0" w:type="dxa"/>
          <w:start w:w="108" w:type="dxa"/>
          <w:bottom w:w="0" w:type="dxa"/>
          <w:end w:w="108" w:type="dxa"/>
        </w:tblCellMar>
      </w:tblPr>
      <w:tblGrid>
        <w:gridCol w:w="4680"/>
        <w:gridCol w:w="4680"/>
      </w:tblGrid>
      <w:tr>
        <w:trPr/>
        <w:tc>
          <w:tcPr>
            <w:tcW w:w="4680" w:type="dxa"/>
            <w:tcBorders/>
          </w:tcPr>
          <w:p>
            <w:pPr>
              <w:pStyle w:val="Normal"/>
              <w:tabs>
                <w:tab w:val="clear" w:pos="720"/>
                <w:tab w:val="right" w:pos="4320" w:leader="underscore"/>
              </w:tabs>
              <w:rPr/>
            </w:pPr>
            <w:r>
              <w:rPr/>
              <w:t>Julie Hextell*</w:t>
            </w:r>
          </w:p>
          <w:p>
            <w:pPr>
              <w:pStyle w:val="Normal"/>
              <w:tabs>
                <w:tab w:val="clear" w:pos="720"/>
                <w:tab w:val="right" w:pos="4320" w:leader="underscore"/>
              </w:tabs>
              <w:rPr/>
            </w:pPr>
            <w:r>
              <w:rPr/>
              <w:tab/>
            </w:r>
          </w:p>
          <w:p>
            <w:pPr>
              <w:pStyle w:val="Normal"/>
              <w:tabs>
                <w:tab w:val="clear" w:pos="720"/>
                <w:tab w:val="right" w:pos="4320" w:leader="underscore"/>
              </w:tabs>
              <w:rPr/>
            </w:pPr>
            <w:r>
              <w:rPr/>
              <w:t>AES NewEnergy, Inc.</w:t>
            </w:r>
          </w:p>
          <w:p>
            <w:pPr>
              <w:pStyle w:val="Normal"/>
              <w:tabs>
                <w:tab w:val="clear" w:pos="720"/>
                <w:tab w:val="right" w:pos="4320" w:leader="underscore"/>
              </w:tabs>
              <w:rPr/>
            </w:pPr>
            <w:r>
              <w:rPr/>
              <w:t>309 West Washington Street</w:t>
            </w:r>
          </w:p>
          <w:p>
            <w:pPr>
              <w:pStyle w:val="Normal"/>
              <w:tabs>
                <w:tab w:val="clear" w:pos="720"/>
                <w:tab w:val="right" w:pos="4320" w:leader="underscore"/>
              </w:tabs>
              <w:rPr/>
            </w:pPr>
            <w:r>
              <w:rPr/>
              <w:t>Chicago, Illinois  606__</w:t>
            </w:r>
          </w:p>
        </w:tc>
        <w:tc>
          <w:tcPr>
            <w:tcW w:w="4680" w:type="dxa"/>
            <w:tcBorders/>
          </w:tcPr>
          <w:p>
            <w:pPr>
              <w:pStyle w:val="Normal"/>
              <w:rPr/>
            </w:pPr>
            <w:r>
              <w:rPr/>
              <w:t>Mr. Mark J. McGuire*</w:t>
            </w:r>
          </w:p>
          <w:p>
            <w:pPr>
              <w:pStyle w:val="Normal"/>
              <w:rPr/>
            </w:pPr>
            <w:r>
              <w:rPr/>
              <w:t>Jenner &amp; Block, LLC</w:t>
            </w:r>
          </w:p>
          <w:p>
            <w:pPr>
              <w:pStyle w:val="Normal"/>
              <w:rPr/>
            </w:pPr>
            <w:r>
              <w:rPr/>
              <w:t>601 Thirteenth Street, N.W.</w:t>
            </w:r>
          </w:p>
          <w:p>
            <w:pPr>
              <w:pStyle w:val="Normal"/>
              <w:rPr/>
            </w:pPr>
            <w:r>
              <w:rPr/>
              <w:t>Washington, D.C. 20005</w:t>
            </w:r>
          </w:p>
        </w:tc>
      </w:tr>
      <w:tr>
        <w:trPr/>
        <w:tc>
          <w:tcPr>
            <w:tcW w:w="4680" w:type="dxa"/>
            <w:tcBorders/>
          </w:tcPr>
          <w:p>
            <w:pPr>
              <w:pStyle w:val="Normal"/>
              <w:tabs>
                <w:tab w:val="clear" w:pos="720"/>
                <w:tab w:val="right" w:pos="4320" w:leader="underscore"/>
              </w:tabs>
              <w:rPr/>
            </w:pPr>
            <w:r>
              <w:rPr/>
              <w:t>*designation for official service list</w:t>
            </w:r>
          </w:p>
        </w:tc>
        <w:tc>
          <w:tcPr>
            <w:tcW w:w="4680" w:type="dxa"/>
            <w:tcBorders/>
          </w:tcPr>
          <w:p>
            <w:pPr>
              <w:pStyle w:val="Normal"/>
              <w:rPr/>
            </w:pPr>
            <w:r>
              <w:rPr/>
              <w:t>*designation for official service list</w:t>
            </w:r>
          </w:p>
        </w:tc>
      </w:tr>
    </w:tbl>
    <w:p>
      <w:pPr>
        <w:pStyle w:val="Heading1"/>
        <w:rPr/>
      </w:pPr>
      <w:r>
        <w:rPr/>
        <w:t>This Complaint Should Receive Normal Processing Because Dynegy Failed to Satisfy the Requirements for Fast Track Processing and Because of the Complexities of the Case.</w:t>
      </w:r>
    </w:p>
    <w:p>
      <w:pPr>
        <w:pStyle w:val="BodyDblSp5"/>
        <w:spacing w:before="240" w:after="0"/>
        <w:rPr/>
      </w:pPr>
      <w:r>
        <w:rPr/>
        <w:t>Dynegy requests that this proceeding, initiated by a 168-page complaint with supporting exhibits and affidavits (and even though it was not served on one of the principal parties in interest), be expedited by the Commission.  However, Dynegy has failed to satisfy its burden of demonstrating the Commission’s standard complaint process is inadequate.  Without any supporting facts, Dynegy offers that the necessity for expeditious processing is based on jeopardy to reliability and potential financial harm.  The reliability issue is a red-herring, as demonstrated by ComEd’s answer and affirmative statement that there has never been a transmission reliability problem related to the business practice questioned by Dynegy.  The unsupported allegation of potential financial harm to Dynegy, standing alone, as it does, simply does not qualify as a basis for expedited processing.</w:t>
      </w:r>
    </w:p>
    <w:p>
      <w:pPr>
        <w:pStyle w:val="BodyDblSp5"/>
        <w:rPr/>
      </w:pPr>
      <w:r>
        <w:rPr/>
        <w:t>Moreover, this proceeding is more appropriately dealt with by the Commission using its normal deliberative processes for several reasons.  First, the complaint itself is lengthy and complex, and calls for the Commission to make an interpretation of its Orders 888 and 888-A on an issue which has not been directly confronted by the Commission previously and is likely to have a far-ranging effect, not only on the parties in interest here, but on other parties in the industry as well.  Second, the complaint makes sweeping allegations which although unsupported by Dynegy will necessarily require discovery of extensive facts to evaluate and rebut.  Third, Dynegy has known about ComEd’s practice regarding designation of network resources for well over a year.  Accordingly, its suggestion that it just learned of the “problem” and that quick Commission action is necessary to fix it rings hollow.  In fact, Dynegy knew that AES NewEnergy intended to have the contract designated as a network resource in June of 2000, when AES NewEnergy through a formal Request for Proposal sought bids for “highest priority power, equivalent to native load status.”  Fourth, Dynegy has offered no factual support for their position on damages.  Their supporting affidavits are short on relevant facts but replete with opinions, legal conclusions and self-serving statements, none of which provide sufficient grounds for the Commission to take the requested actions.  The fact that Dynegy entered into a contract that it now determines is not as good a deal as it would have liked is not a basis for claiming damages and certainly does not warrant Fast Track status for review and consideration. For all of these reasons, the Commission should deny Dynegy’s request for Fast Track processing.</w:t>
      </w:r>
    </w:p>
    <w:p>
      <w:pPr>
        <w:pStyle w:val="BodyDblSp5"/>
        <w:rPr/>
      </w:pPr>
      <w:r>
        <w:rPr/>
        <w:t>In connection with AES NewEnergy’s request that Fast Track processing be denied, counsel for the Illinois Commerce Commission, Central Illinois Light Company and Enron (petitioning intervenors) have authorized us to state that they each join in that request.  In addition, ComEd has authorized us to state that it has no objection to resolving this matter using the Commission’s normal processes.</w:t>
      </w:r>
    </w:p>
    <w:p>
      <w:pPr>
        <w:pStyle w:val="Heading1"/>
        <w:rPr/>
      </w:pPr>
      <w:r>
        <w:rPr/>
        <w:t>Protest</w:t>
      </w:r>
    </w:p>
    <w:p>
      <w:pPr>
        <w:pStyle w:val="Heading2"/>
        <w:ind w:hanging="0" w:start="0"/>
        <w:rPr/>
      </w:pPr>
      <w:r>
        <w:rPr/>
        <w:t>Dynegy’s Complaint is simply an attempt to undo a bad deal.</w:t>
      </w:r>
    </w:p>
    <w:p>
      <w:pPr>
        <w:pStyle w:val="BodyDblSp5"/>
        <w:rPr/>
      </w:pPr>
      <w:r>
        <w:rPr/>
        <w:t>Dynegy asserts that ComEd “permitted” the “illegal” and “uncompensated” designation of resources on a daily basis.  In reality, it was Dynegy that executed the contract with AES NewEnergy at a certain price, and knowing that AES NewEnergy intended that the contract would be a designated network resource.  It is not as if Dynegy has not received exactly what it bargained for under the contract.  It has.</w:t>
      </w:r>
      <w:r>
        <w:rPr>
          <w:rStyle w:val="FootnoteCharacters"/>
          <w:rStyle w:val="FootnoteReference"/>
        </w:rPr>
        <w:footnoteReference w:id="3"/>
      </w:r>
      <w:r>
        <w:rPr/>
        <w:t xml:space="preserve">  Dynegy’s complaint suggests that it did not get enough consideration from AES New Energy, and attempts to get the Commission to step in and change the result Dynegy bargained for and has received.</w:t>
      </w:r>
    </w:p>
    <w:p>
      <w:pPr>
        <w:pStyle w:val="BodyDblSp5"/>
        <w:rPr/>
      </w:pPr>
      <w:r>
        <w:rPr/>
        <w:t>In this context, we note that the “Firm LD Into” product is of the highest quality; the only acceptable excuse for non-performance is force majeure.  Consequently, a “Firm LD Into” product provides the same quality of service as a contract under which the purchaser pays a demand charge.  Moreover, the only remedy for non-performance under both contracts is cover.  If a particular generation unit under a so called “capacity-backed” purchase contract fails, the purchaser must find alternative supply, or cover in the just the same way as it would under a “Firm LD Into” contract.  In fact, it could be that in some cases the “Firm LD Into” product is more reliable and valuable than a typical demand charge, capacity-backed arrangement because an outage at a single generation unit would not necessarily excuse performance by the seller.</w:t>
      </w:r>
      <w:r>
        <w:rPr>
          <w:rStyle w:val="FootnoteCharacters"/>
          <w:rStyle w:val="FootnoteReference"/>
        </w:rPr>
        <w:footnoteReference w:id="4"/>
      </w:r>
      <w:r>
        <w:rPr/>
        <w:t xml:space="preserve"> Therefore, the two types of contracts are identical for transmission reliability purposes.  Dynegy admitted as much in its affiliate (Illinois Power) testimony before the Illinois Commerce Commission last year, when it stated __________.</w:t>
      </w:r>
    </w:p>
    <w:p>
      <w:pPr>
        <w:pStyle w:val="Heading2"/>
        <w:ind w:hanging="0" w:start="0"/>
        <w:rPr/>
      </w:pPr>
      <w:r>
        <w:rPr/>
        <w:t>Dynegy’s Complaint is an Attempt to Circumvent or Influence Issues Pending Before the Midwest ISO.</w:t>
      </w:r>
    </w:p>
    <w:p>
      <w:pPr>
        <w:pStyle w:val="BodyDblSp5"/>
        <w:rPr/>
      </w:pPr>
      <w:r>
        <w:rPr/>
        <w:t>The issue as to whether contracts such as the ones in question may or may not be designated network resources has been raised and is the subject of ongoing, rigorous debate among the entities and organizations participating in the formation of the Midwest ISO.  It would be premature and inappropriate at this point for the Commission to express an opinion or rule on such matters in light of the ISO formation process.  At the very least, all participants in the ISO formation process should be entitled to offer their comments on Dynegy’s petition.  Dynegy’s request for Fast Track status only exacerbates the difficulty in coordinating any decision by the Commission with the ISO formation process.</w:t>
      </w:r>
    </w:p>
    <w:p>
      <w:pPr>
        <w:pStyle w:val="Heading2"/>
        <w:ind w:hanging="0" w:start="0"/>
        <w:rPr/>
      </w:pPr>
      <w:r>
        <w:rPr/>
        <w:t>Dynegy’s Complaint Misstates the Facts and Misrepresents the Law.</w:t>
      </w:r>
    </w:p>
    <w:p>
      <w:pPr>
        <w:pStyle w:val="BodyDblSp5"/>
        <w:rPr/>
      </w:pPr>
      <w:r>
        <w:rPr/>
        <w:t>Dynegy’s complaints states again and again that the designation of the AES NewEnergy contract as a network resource fails to satisfy the “purchase obligation” required by the Commission’s Order No. 888 and ComEd’s OATT.  Dynegy also suggests it may cause transmission reliability problems.  Nowhere in its complaint, however, does Dynegy assert that it has ever been denied transmission service or that it has been curtailed due to the business practice it questions.  AES NewEnergy notes in this context that it is aware of ComEd’s answer to the complaint and generally supports the arguments set forth therein; worthy of particular note is the fact that ComEd, the control area operator upon whom rests the ultimate responsibility for ensuring transmission system reliability, has affirmatively stated that it has not experienced problems with interruptions of network resources designated by competitive retail suppliers as a result of this business practice.</w:t>
      </w:r>
    </w:p>
    <w:p>
      <w:pPr>
        <w:pStyle w:val="BodyDblSp5"/>
        <w:rPr/>
      </w:pPr>
      <w:r>
        <w:rPr/>
        <w:t>As indicated above, AES NewEnergy was not served with a copy of the complaint and just recently received it.  Accordingly, AES NewEnergy will need a reasonable amount of time to analyze the lengthy complaint and fully respond to all the allegations.  Doing so will require talking with AES NewEnergy business personnel in Chicago and Boston to sift through all of Dynegy’s allegations and become familiar with all the facts at issue.  Accordingly, AES NewEnergy reserves the right to make substantive comments and further protests based on further analysis.</w:t>
      </w:r>
    </w:p>
    <w:p>
      <w:pPr>
        <w:pStyle w:val="BodyDblSp5"/>
        <w:jc w:val="center"/>
        <w:rPr/>
      </w:pPr>
      <w:r>
        <w:rPr>
          <w:b/>
          <w:bCs/>
        </w:rPr>
        <w:t>VI.</w:t>
        <w:tab/>
        <w:t>REQUEST FOR PRIVILEGED</w:t>
      </w:r>
      <w:r>
        <w:rPr/>
        <w:t xml:space="preserve"> </w:t>
      </w:r>
      <w:r>
        <w:rPr>
          <w:b/>
          <w:bCs/>
        </w:rPr>
        <w:t>TREATMENT</w:t>
      </w:r>
    </w:p>
    <w:p>
      <w:pPr>
        <w:pStyle w:val="FootnoteText"/>
        <w:spacing w:lineRule="auto" w:line="480"/>
        <w:ind w:firstLine="720" w:end="0"/>
        <w:rPr>
          <w:sz w:val="24"/>
        </w:rPr>
      </w:pPr>
      <w:r>
        <w:rPr>
          <w:sz w:val="24"/>
        </w:rPr>
        <w:t>The Dynegy/AES NewEnergy contract (at Section 10.11) specifically prohibited either party from disclosing the terms and conditions of a transaction or the completed cover sheet to any third party and required the use of reasonable efforts to protect against disclosure.  Nevertheless, Dynegy failed to seek privileged treatment under 18 CFR §388.112, as provided for in 18 CFR §358.206(e).  Accordingly, AES New Energy requests that the Commission take whatever steps are necessary to properly accord privileged treatment to at least the first eleven pages of Exhibit C of Dynegy’s complaint.  AES New Energy is still reviewing the 168 page complaint to determine if any other confidential information has been disseminated.</w:t>
      </w:r>
    </w:p>
    <w:p>
      <w:pPr>
        <w:pStyle w:val="BodyDblSp5"/>
        <w:rPr/>
      </w:pPr>
      <w:r>
        <w:rPr>
          <w:b/>
        </w:rPr>
        <w:t>WHEREFORE</w:t>
      </w:r>
      <w:r>
        <w:rPr/>
        <w:t>, AES NewEnergy requests (1) permission to intervene as a party in this proceeding with all attendant rights and privileges; (2) a period of two weeks to prepare and submit a more detailed response to the complaint; (3) that this proceeding by considered by the Commission under its normal processes and that it not be Fast Tracked; (4) that the Commission summarily deny all of the relief requested by Dynegy; and (5) that the Commission take such actions as may be appropriate under the circumstances (notwithstanding Dynegy’s unfettered and unlawful disclosure of its contract) to protect the confidentiality of the pricing and other confidential information in the contract between AES NewEnergy and Dynegy.</w:t>
      </w:r>
    </w:p>
    <w:p>
      <w:pPr>
        <w:pStyle w:val="Normal"/>
        <w:keepNext w:val="true"/>
        <w:ind w:firstLine="5040" w:end="0"/>
        <w:rPr/>
      </w:pPr>
      <w:r>
        <w:rPr/>
        <w:t>Respectfully submitted,</w:t>
      </w:r>
    </w:p>
    <w:p>
      <w:pPr>
        <w:pStyle w:val="Normal"/>
        <w:keepNext w:val="true"/>
        <w:rPr/>
      </w:pPr>
      <w:r>
        <w:rPr/>
      </w:r>
    </w:p>
    <w:p>
      <w:pPr>
        <w:pStyle w:val="Normal"/>
        <w:keepNext w:val="true"/>
        <w:ind w:firstLine="5040" w:end="0"/>
        <w:rPr/>
      </w:pPr>
      <w:r>
        <w:rPr/>
        <w:t>AES NEWENERGY, INC.</w:t>
      </w:r>
    </w:p>
    <w:p>
      <w:pPr>
        <w:pStyle w:val="Normal"/>
        <w:keepNext w:val="true"/>
        <w:rPr/>
      </w:pPr>
      <w:r>
        <w:rPr/>
      </w:r>
    </w:p>
    <w:p>
      <w:pPr>
        <w:pStyle w:val="Normal"/>
        <w:keepNext w:val="true"/>
        <w:rPr/>
      </w:pPr>
      <w:r>
        <w:rPr/>
      </w:r>
    </w:p>
    <w:p>
      <w:pPr>
        <w:pStyle w:val="Normal"/>
        <w:keepNext w:val="true"/>
        <w:ind w:firstLine="720" w:start="4320" w:end="0"/>
        <w:rPr/>
      </w:pPr>
      <w:r>
        <w:rPr/>
        <w:t>By: ________________________________</w:t>
      </w:r>
      <w:r>
        <w:rPr>
          <w:u w:val="single"/>
        </w:rPr>
        <w:t xml:space="preserve"> </w:t>
      </w:r>
    </w:p>
    <w:p>
      <w:pPr>
        <w:pStyle w:val="Normal"/>
        <w:keepNext w:val="true"/>
        <w:rPr/>
      </w:pPr>
      <w:r>
        <w:rPr/>
        <w:t>Mark J. McGuire</w:t>
        <w:tab/>
        <w:tab/>
        <w:tab/>
        <w:tab/>
        <w:tab/>
        <w:tab/>
        <w:t>Phil O’Connor</w:t>
      </w:r>
    </w:p>
    <w:p>
      <w:pPr>
        <w:pStyle w:val="Normal"/>
        <w:keepNext w:val="true"/>
        <w:rPr/>
      </w:pPr>
      <w:r>
        <w:rPr/>
        <w:t>Jenner &amp; Block LLC</w:t>
        <w:tab/>
        <w:tab/>
        <w:tab/>
        <w:tab/>
        <w:tab/>
        <w:tab/>
        <w:t>AES New Energy, Inc.</w:t>
      </w:r>
    </w:p>
    <w:p>
      <w:pPr>
        <w:pStyle w:val="Normal"/>
        <w:keepNext w:val="true"/>
        <w:rPr/>
      </w:pPr>
      <w:r>
        <w:rPr/>
        <w:t>601 13th Street, N.W</w:t>
        <w:tab/>
        <w:tab/>
        <w:tab/>
        <w:tab/>
        <w:tab/>
        <w:tab/>
        <w:t>309 W. Washington Street</w:t>
      </w:r>
    </w:p>
    <w:p>
      <w:pPr>
        <w:pStyle w:val="Normal"/>
        <w:keepNext w:val="true"/>
        <w:rPr/>
      </w:pPr>
      <w:r>
        <w:rPr/>
        <w:t>Suite 1200S</w:t>
        <w:tab/>
        <w:tab/>
        <w:tab/>
        <w:tab/>
        <w:tab/>
        <w:tab/>
        <w:tab/>
        <w:t>Chicago, Illinois  60606</w:t>
      </w:r>
    </w:p>
    <w:p>
      <w:pPr>
        <w:pStyle w:val="Normal"/>
        <w:keepNext w:val="true"/>
        <w:rPr/>
      </w:pPr>
      <w:r>
        <w:rPr/>
        <w:t>Washington, D.C.  20005</w:t>
      </w:r>
    </w:p>
    <w:p>
      <w:pPr>
        <w:pStyle w:val="Normal"/>
        <w:keepNext w:val="true"/>
        <w:rPr/>
      </w:pPr>
      <w:r>
        <w:rPr/>
      </w:r>
    </w:p>
    <w:p>
      <w:pPr>
        <w:pStyle w:val="Normal"/>
        <w:keepNext w:val="true"/>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Dated:  October 26, 2001</w:t>
      </w:r>
    </w:p>
    <w:p>
      <w:pPr>
        <w:pStyle w:val="Subtitle"/>
        <w:rPr/>
      </w:pPr>
      <w:r>
        <w:rPr/>
        <w:t>CERTIFICATE OF SERVICE</w:t>
      </w:r>
    </w:p>
    <w:p>
      <w:pPr>
        <w:pStyle w:val="BodyDblSp5"/>
        <w:spacing w:before="240" w:after="0"/>
        <w:rPr/>
      </w:pPr>
      <w:r>
        <w:rPr/>
        <w:t>I hereby certify that I have caused copies of the foregoing pleading in Docket No. EL02</w:t>
        <w:noBreakHyphen/>
        <w:t>6</w:t>
        <w:noBreakHyphen/>
        <w:t>01 to be served upon each person designated on the official service list compiled by the Secretary in this proceeding.</w:t>
      </w:r>
    </w:p>
    <w:p>
      <w:pPr>
        <w:pStyle w:val="Normal"/>
        <w:spacing w:lineRule="auto" w:line="480"/>
        <w:ind w:firstLine="720" w:end="0"/>
        <w:rPr/>
      </w:pPr>
      <w:r>
        <w:rPr/>
        <w:t>Dated at Washington, D.C., this 26</w:t>
      </w:r>
      <w:r>
        <w:rPr>
          <w:vertAlign w:val="superscript"/>
        </w:rPr>
        <w:t>th</w:t>
      </w:r>
      <w:r>
        <w:rPr/>
        <w:t xml:space="preserve"> day of October, 2001.</w:t>
      </w:r>
    </w:p>
    <w:tbl>
      <w:tblPr>
        <w:tblW w:w="3780" w:type="dxa"/>
        <w:jc w:val="start"/>
        <w:tblInd w:w="5148" w:type="dxa"/>
        <w:tblLayout w:type="fixed"/>
        <w:tblCellMar>
          <w:top w:w="0" w:type="dxa"/>
          <w:start w:w="108" w:type="dxa"/>
          <w:bottom w:w="0" w:type="dxa"/>
          <w:end w:w="108" w:type="dxa"/>
        </w:tblCellMar>
      </w:tblPr>
      <w:tblGrid>
        <w:gridCol w:w="3780"/>
      </w:tblGrid>
      <w:tr>
        <w:trPr/>
        <w:tc>
          <w:tcPr>
            <w:tcW w:w="3780" w:type="dxa"/>
            <w:tcBorders/>
          </w:tcPr>
          <w:p>
            <w:pPr>
              <w:pStyle w:val="Normal"/>
              <w:tabs>
                <w:tab w:val="clear" w:pos="720"/>
                <w:tab w:val="right" w:pos="4320" w:leader="underscore"/>
              </w:tabs>
              <w:rPr/>
            </w:pPr>
            <w:r>
              <w:rPr/>
              <w:tab/>
            </w:r>
          </w:p>
        </w:tc>
      </w:tr>
      <w:tr>
        <w:trPr/>
        <w:tc>
          <w:tcPr>
            <w:tcW w:w="3780" w:type="dxa"/>
            <w:tcBorders/>
          </w:tcPr>
          <w:p>
            <w:pPr>
              <w:pStyle w:val="Normal"/>
              <w:rPr/>
            </w:pPr>
            <w:r>
              <w:rPr/>
              <w:t>Mark J. McGuire</w:t>
            </w:r>
          </w:p>
          <w:p>
            <w:pPr>
              <w:pStyle w:val="Normal"/>
              <w:rPr/>
            </w:pPr>
            <w:r>
              <w:rPr/>
              <w:t>Attorney for</w:t>
            </w:r>
          </w:p>
          <w:p>
            <w:pPr>
              <w:pStyle w:val="Normal"/>
              <w:rPr/>
            </w:pPr>
            <w:r>
              <w:rPr/>
              <w:t>AES NewEnergy, Inc.</w:t>
            </w:r>
          </w:p>
        </w:tc>
      </w:tr>
    </w:tbl>
    <w:p>
      <w:pPr>
        <w:pStyle w:val="Normal"/>
        <w:ind w:firstLine="5040" w:end="0"/>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fldChar w:fldCharType="begin"/>
    </w:r>
    <w:r>
      <w:rPr/>
      <w:instrText xml:space="preserve"> DOCPROPERTY "SWDocID"</w:instrText>
    </w:r>
    <w:r>
      <w:rPr/>
      <w:fldChar w:fldCharType="separate"/>
    </w:r>
    <w:r>
      <w:rPr/>
      <w:t>(CHICAGO)_673176_3  10/25/01 5:32 PM</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fldChar w:fldCharType="begin"/>
    </w:r>
    <w:r>
      <w:rPr/>
      <w:instrText xml:space="preserve"> DOCPROPERTY "SWDocID"</w:instrText>
    </w:r>
    <w:r>
      <w:rPr/>
      <w:fldChar w:fldCharType="separate"/>
    </w:r>
    <w:r>
      <w:rPr/>
      <w:t>(CHICAGO)_673176_3  10/25/01 5:32 PM</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fldChar w:fldCharType="begin"/>
    </w:r>
    <w:r>
      <w:rPr/>
      <w:instrText xml:space="preserve"> DOCPROPERTY "SWDocID"</w:instrText>
    </w:r>
    <w:r>
      <w:rPr/>
      <w:fldChar w:fldCharType="separate"/>
    </w:r>
    <w:r>
      <w:rPr/>
      <w:t>(CHICAGO)_673176_3  10/25/01 5:32 PM</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rPr/>
      </w:pPr>
      <w:r>
        <w:rPr>
          <w:rStyle w:val="FootnoteCharacters"/>
        </w:rPr>
        <w:footnoteRef/>
      </w:r>
      <w:r>
        <w:rPr/>
        <w:t xml:space="preserve"> “</w:t>
      </w:r>
      <w:r>
        <w:rPr/>
        <w:t>Any person filing a complaint must serve a copy of the complaint on . . . others the complainant reasonably knows may be expected to be affected by the complaint.”  18 CFR §385.206(c).  It is difficult to comprehend how Dynegy could not reasonably know that AES NewEnergy would be affected by its complaint.</w:t>
      </w:r>
    </w:p>
  </w:footnote>
  <w:footnote w:id="3">
    <w:p>
      <w:pPr>
        <w:pStyle w:val="FootnoteText"/>
        <w:spacing w:before="240" w:after="0"/>
        <w:rPr/>
      </w:pPr>
      <w:r>
        <w:rPr>
          <w:rStyle w:val="FootnoteCharacters"/>
        </w:rPr>
        <w:footnoteRef/>
      </w:r>
      <w:r>
        <w:rPr/>
        <w:t xml:space="preserve"> </w:t>
      </w:r>
      <w:r>
        <w:rPr/>
        <w:t>If, on the other hand, Dynegy always expected that ComEd would refuse to accept designation of the contract as a network resource, then Dynegy bargained and entered into the contract in bad faith.  There is no question that Dynegy knew AES NewEnergy expected that the contract would be so designated.</w:t>
      </w:r>
    </w:p>
  </w:footnote>
  <w:footnote w:id="4">
    <w:p>
      <w:pPr>
        <w:pStyle w:val="FootnoteText"/>
        <w:spacing w:before="240" w:after="0"/>
        <w:rPr/>
      </w:pPr>
      <w:r>
        <w:rPr>
          <w:rStyle w:val="FootnoteCharacters"/>
        </w:rPr>
        <w:footnoteRef/>
      </w:r>
      <w:r>
        <w:rPr/>
        <w:t xml:space="preserve"> </w:t>
      </w:r>
      <w:r>
        <w:rPr/>
        <w:t>Indeed, Illinois Power, Dynegy’s utility affiliate, testified in ________________ that that “Firm LD Into” contract was of the greatest market value, equivalent to native supply sources. (CITE-BRAMSCHRIBER)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tab/>
      <w:tab/>
    </w:r>
    <w:r>
      <w:rPr>
        <w:sz w:val="32"/>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1440" w:hanging="0"/>
      </w:pPr>
      <w:rPr>
        <w:caps/>
        <w:outline w:val="false"/>
        <w:dstrike w:val="false"/>
        <w:strike w:val="false"/>
        <w:vertAlign w:val="baseline"/>
        <w:position w:val="0"/>
        <w:sz w:val="24"/>
        <w:sz w:val="24"/>
        <w:spacing w:val="0"/>
        <w:i w:val="false"/>
        <w:shadow w:val="false"/>
        <w:u w:val="none"/>
        <w:b/>
        <w:kern w:val="0"/>
        <w:w w:val="100"/>
        <w:vanish w:val="false"/>
        <w:rFonts w:ascii="Times New Roman Bold" w:hAnsi="Times New Roman Bold" w:cs="Times New Roman Bold"/>
        <w:color w:val="000000"/>
      </w:rPr>
    </w:lvl>
    <w:lvl w:ilvl="1">
      <w:start w:val="1"/>
      <w:pStyle w:val="Heading2"/>
      <w:numFmt w:val="upperLetter"/>
      <w:lvlText w:val="%2."/>
      <w:lvlJc w:val="start"/>
      <w:pPr>
        <w:tabs>
          <w:tab w:val="num" w:pos="0"/>
        </w:tabs>
        <w:ind w:start="1440" w:hanging="720"/>
      </w:pPr>
      <w:rPr>
        <w:caps/>
        <w:outline w:val="false"/>
        <w:dstrike w:val="false"/>
        <w:strike w:val="false"/>
        <w:vertAlign w:val="baseline"/>
        <w:position w:val="0"/>
        <w:sz w:val="24"/>
        <w:sz w:val="24"/>
        <w:spacing w:val="0"/>
        <w:i w:val="false"/>
        <w:shadow w:val="false"/>
        <w:u w:val="none"/>
        <w:b/>
        <w:kern w:val="0"/>
        <w:w w:val="100"/>
        <w:vanish w:val="false"/>
        <w:rFonts w:ascii="Times New Roman Bold" w:hAnsi="Times New Roman Bold" w:cs="Times New Roman Bold"/>
        <w:color w:val="000000"/>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lowerLetter"/>
      <w:lvlText w:val="%1)"/>
      <w:lvlJc w:val="start"/>
      <w:pPr>
        <w:tabs>
          <w:tab w:val="num" w:pos="720"/>
        </w:tabs>
        <w:ind w:start="720" w:hanging="720"/>
      </w:pPr>
    </w:lvl>
  </w:abstractNum>
  <w:abstractNum w:abstractNumId="5">
    <w:lvl w:ilvl="0">
      <w:start w:val="1"/>
      <w:numFmt w:val="lowerRoman"/>
      <w:lvlText w:val="(%1)"/>
      <w:lvlJc w:val="start"/>
      <w:pPr>
        <w:tabs>
          <w:tab w:val="num" w:pos="1440"/>
        </w:tabs>
        <w:ind w:start="1440" w:hanging="720"/>
      </w:pPr>
    </w:lvl>
  </w:abstractNum>
  <w:abstractNum w:abstractNumId="6">
    <w:lvl w:ilvl="0">
      <w:start w:val="1"/>
      <w:numFmt w:val="decimal"/>
      <w:lvlText w:val="%1."/>
      <w:lvlJc w:val="start"/>
      <w:pPr>
        <w:tabs>
          <w:tab w:val="num" w:pos="720"/>
        </w:tabs>
        <w:ind w:start="720" w:hanging="720"/>
      </w:pPr>
    </w:lvl>
  </w:abstractNum>
  <w:abstractNum w:abstractNumId="7">
    <w:lvl w:ilvl="0">
      <w:start w:val="1"/>
      <w:numFmt w:val="upperLetter"/>
      <w:lvlText w:val="%1."/>
      <w:lvlJc w:val="start"/>
      <w:pPr>
        <w:tabs>
          <w:tab w:val="num" w:pos="1440"/>
        </w:tabs>
        <w:ind w:start="1440" w:hanging="720"/>
      </w:pPr>
    </w:lvl>
  </w:abstractNum>
  <w:abstractNum w:abstractNumId="8">
    <w:lvl w:ilvl="0">
      <w:start w:val="1"/>
      <w:numFmt w:val="upperLetter"/>
      <w:lvlText w:val="%1."/>
      <w:lvlJc w:val="start"/>
      <w:pPr>
        <w:tabs>
          <w:tab w:val="num" w:pos="720"/>
        </w:tabs>
        <w:ind w:start="720" w:hanging="720"/>
      </w:pPr>
    </w:lvl>
  </w:abstractNum>
  <w:abstractNum w:abstractNumId="9">
    <w:lvl w:ilvl="0">
      <w:start w:val="1"/>
      <w:numFmt w:val="decimal"/>
      <w:lvlText w:val="%1.  "/>
      <w:lvlJc w:val="start"/>
      <w:pPr>
        <w:tabs>
          <w:tab w:val="num" w:pos="432"/>
        </w:tabs>
        <w:ind w:start="432" w:hanging="432"/>
      </w:pPr>
    </w:lvl>
    <w:lvl w:ilvl="1">
      <w:start w:val="1"/>
      <w:numFmt w:val="decimal"/>
      <w:lvlText w:val="%1.%2"/>
      <w:lvlJc w:val="start"/>
      <w:pPr>
        <w:tabs>
          <w:tab w:val="num" w:pos="2520"/>
        </w:tabs>
        <w:ind w:start="0" w:firstLine="2160"/>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0">
    <w:lvl w:ilvl="0">
      <w:start w:val="1"/>
      <w:numFmt w:val="lowerLetter"/>
      <w:lvlText w:val="%1)"/>
      <w:lvlJc w:val="start"/>
      <w:pPr>
        <w:tabs>
          <w:tab w:val="num" w:pos="1440"/>
        </w:tabs>
        <w:ind w:start="1440" w:hanging="720"/>
      </w:pPr>
    </w:lvl>
  </w:abstractNum>
  <w:abstractNum w:abstractNumId="11">
    <w:lvl w:ilvl="0">
      <w:start w:val="1"/>
      <w:numFmt w:val="upperRoman"/>
      <w:lvlText w:val="%1."/>
      <w:lvlJc w:val="start"/>
      <w:pPr>
        <w:tabs>
          <w:tab w:val="num" w:pos="1440"/>
        </w:tabs>
        <w:ind w:start="1440" w:hanging="720"/>
      </w:pPr>
    </w:lvl>
  </w:abstractNum>
  <w:abstractNum w:abstractNumId="12">
    <w:lvl w:ilvl="0">
      <w:start w:val="1"/>
      <w:numFmt w:val="lowerRoman"/>
      <w:lvlText w:val="(%1)"/>
      <w:lvlJc w:val="start"/>
      <w:pPr>
        <w:tabs>
          <w:tab w:val="num" w:pos="720"/>
        </w:tabs>
        <w:ind w:start="720" w:hanging="720"/>
      </w:pPr>
    </w:lvl>
  </w:abstractNum>
  <w:abstractNum w:abstractNumId="13">
    <w:lvl w:ilvl="0">
      <w:start w:val="1"/>
      <w:numFmt w:val="decimal"/>
      <w:lvlText w:val="%1."/>
      <w:lvlJc w:val="start"/>
      <w:pPr>
        <w:tabs>
          <w:tab w:val="num" w:pos="1440"/>
        </w:tabs>
        <w:ind w:start="144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SWAllFollowNumberWith" w:val="3|3|"/>
    <w:docVar w:name="SWAllLegalNumbering" w:val="0|0|"/>
    <w:docVar w:name="SWAllNumberFont" w:val="1|Times New Roman Bold|12|10000000010000~~0|0|0|100|0|0|@@2|Times New Roman Bold|12|10000000010000~~0|0|0|100|0|0|@@"/>
    <w:docVar w:name="SWAllNumberStyle" w:val="2|4|"/>
    <w:docVar w:name="SWAllRestartAfterHigher" w:val="1|1|"/>
    <w:docVar w:name="SWAllStyleThatFollows" w:val="Normal|Normal|"/>
    <w:docVar w:name="SWAllTextAfter" w:val=".|.|"/>
    <w:docVar w:name="SWAllTextBefore" w:val="||"/>
    <w:docVar w:name="SWConformFont" w:val="1|Times New Roman|12"/>
    <w:docVar w:name="SWDocIDLocation"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360" w:after="240"/>
      <w:ind w:hanging="0" w:start="0" w:end="1440"/>
      <w:jc w:val="center"/>
      <w:outlineLvl w:val="0"/>
    </w:pPr>
    <w:rPr>
      <w:b/>
      <w:caps/>
    </w:rPr>
  </w:style>
  <w:style w:type="paragraph" w:styleId="Heading2">
    <w:name w:val="heading 2"/>
    <w:basedOn w:val="Normal"/>
    <w:next w:val="Normal"/>
    <w:qFormat/>
    <w:pPr>
      <w:keepNext w:val="true"/>
      <w:numPr>
        <w:ilvl w:val="1"/>
        <w:numId w:val="1"/>
      </w:numPr>
      <w:tabs>
        <w:tab w:val="clear" w:pos="720"/>
      </w:tabs>
      <w:spacing w:before="240" w:after="240"/>
      <w:jc w:val="both"/>
      <w:outlineLvl w:val="1"/>
    </w:pPr>
    <w:rPr>
      <w:b/>
      <w:smallCaps/>
      <w:u w:val="single"/>
    </w:rPr>
  </w:style>
  <w:style w:type="paragraph" w:styleId="Heading3">
    <w:name w:val="heading 3"/>
    <w:basedOn w:val="Normal"/>
    <w:next w:val="Normal"/>
    <w:qFormat/>
    <w:pPr>
      <w:keepNext w:val="true"/>
      <w:numPr>
        <w:ilvl w:val="2"/>
        <w:numId w:val="1"/>
      </w:numPr>
      <w:spacing w:before="240" w:after="12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6z0">
    <w:name w:val="WW8Num6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8z0">
    <w:name w:val="WW8Num8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2z0">
    <w:name w:val="WW8Num12z0"/>
    <w:qFormat/>
    <w:rPr>
      <w:u w:val="single"/>
    </w:rPr>
  </w:style>
  <w:style w:type="character" w:styleId="WW8Num12z1">
    <w:name w:val="WW8Num12z1"/>
    <w:qFormat/>
    <w:rPr>
      <w:u w:val="none"/>
    </w:rPr>
  </w:style>
  <w:style w:type="character" w:styleId="WW8Num13z0">
    <w:name w:val="WW8Num13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4z0">
    <w:name w:val="WW8Num14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5z0">
    <w:name w:val="WW8Num15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9z0">
    <w:name w:val="WW8Num19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20z0">
    <w:name w:val="WW8Num20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22z0">
    <w:name w:val="WW8Num22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23z0">
    <w:name w:val="WW8Num23z0"/>
    <w:qFormat/>
    <w:rPr>
      <w:rFonts w:ascii="Times New Roman Bold" w:hAnsi="Times New Roman Bold" w:cs="Times New Roman Bold"/>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color w:val="000000"/>
      <w:sz w:val="24"/>
      <w:vertAlign w:val="superscrip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0"/>
    </w:pPr>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both"/>
    </w:pPr>
    <w:rPr>
      <w:sz w:val="14"/>
    </w:rPr>
  </w:style>
  <w:style w:type="paragraph" w:styleId="BlockText">
    <w:name w:val="Block Text"/>
    <w:basedOn w:val="Normal"/>
    <w:qFormat/>
    <w:pPr>
      <w:ind w:hanging="0" w:start="2160" w:end="2880"/>
    </w:pPr>
    <w:rPr/>
  </w:style>
  <w:style w:type="paragraph" w:styleId="BodyDblSp">
    <w:name w:val="Body Dbl Sp"/>
    <w:basedOn w:val="Normal"/>
    <w:qFormat/>
    <w:pPr>
      <w:spacing w:lineRule="auto" w:line="480"/>
    </w:pPr>
    <w:rPr/>
  </w:style>
  <w:style w:type="paragraph" w:styleId="BodyDblSp5">
    <w:name w:val="Body Dbl Sp .5"/>
    <w:basedOn w:val="Normal"/>
    <w:qFormat/>
    <w:pPr>
      <w:spacing w:lineRule="auto" w:line="480"/>
      <w:ind w:firstLine="720" w:start="0" w:end="0"/>
    </w:pPr>
    <w:rPr/>
  </w:style>
  <w:style w:type="paragraph" w:styleId="BodyDblSp5J">
    <w:name w:val="Body Dbl Sp .5 J"/>
    <w:basedOn w:val="Normal"/>
    <w:qFormat/>
    <w:pPr>
      <w:spacing w:lineRule="auto" w:line="480"/>
      <w:ind w:firstLine="720" w:start="0" w:end="0"/>
      <w:jc w:val="both"/>
    </w:pPr>
    <w:rPr/>
  </w:style>
  <w:style w:type="paragraph" w:styleId="BodyDblSp1">
    <w:name w:val="Body Dbl Sp 1"/>
    <w:basedOn w:val="Normal"/>
    <w:qFormat/>
    <w:pPr>
      <w:spacing w:lineRule="auto" w:line="480"/>
      <w:ind w:firstLine="1440" w:start="0" w:end="0"/>
    </w:pPr>
    <w:rPr/>
  </w:style>
  <w:style w:type="paragraph" w:styleId="BodyDblSp1J">
    <w:name w:val="Body Dbl Sp 1 J"/>
    <w:basedOn w:val="Normal"/>
    <w:qFormat/>
    <w:pPr>
      <w:spacing w:lineRule="auto" w:line="480"/>
      <w:ind w:firstLine="1440" w:start="0" w:end="0"/>
      <w:jc w:val="both"/>
    </w:pPr>
    <w:rPr/>
  </w:style>
  <w:style w:type="paragraph" w:styleId="BodyDblSpJ">
    <w:name w:val="Body Dbl Sp J"/>
    <w:basedOn w:val="Normal"/>
    <w:qFormat/>
    <w:pPr>
      <w:spacing w:lineRule="auto" w:line="480"/>
      <w:jc w:val="both"/>
    </w:pPr>
    <w:rPr/>
  </w:style>
  <w:style w:type="paragraph" w:styleId="BodyQuote55">
    <w:name w:val="Body Quote .5/.5"/>
    <w:basedOn w:val="Normal"/>
    <w:qFormat/>
    <w:pPr>
      <w:spacing w:before="0" w:after="240"/>
      <w:ind w:hanging="0" w:start="720" w:end="720"/>
    </w:pPr>
    <w:rPr/>
  </w:style>
  <w:style w:type="paragraph" w:styleId="BodyQuote55FL5">
    <w:name w:val="Body Quote .5/.5 FL .5"/>
    <w:basedOn w:val="Normal"/>
    <w:qFormat/>
    <w:pPr>
      <w:spacing w:before="0" w:after="240"/>
      <w:ind w:firstLine="720" w:start="720" w:end="720"/>
    </w:pPr>
    <w:rPr/>
  </w:style>
  <w:style w:type="paragraph" w:styleId="BodyQuote55J">
    <w:name w:val="Body Quote .5/.5 J"/>
    <w:basedOn w:val="Normal"/>
    <w:qFormat/>
    <w:pPr>
      <w:spacing w:before="0" w:after="240"/>
      <w:ind w:hanging="0" w:start="720" w:end="720"/>
      <w:jc w:val="both"/>
    </w:pPr>
    <w:rPr/>
  </w:style>
  <w:style w:type="paragraph" w:styleId="BodyQuote11">
    <w:name w:val="Body Quote 1/1"/>
    <w:basedOn w:val="Normal"/>
    <w:qFormat/>
    <w:pPr>
      <w:spacing w:before="0" w:after="240"/>
      <w:ind w:hanging="0" w:start="1440" w:end="1440"/>
    </w:pPr>
    <w:rPr/>
  </w:style>
  <w:style w:type="paragraph" w:styleId="BodyQuote11FL5">
    <w:name w:val="Body Quote 1/1 FL .5"/>
    <w:basedOn w:val="Normal"/>
    <w:qFormat/>
    <w:pPr>
      <w:spacing w:before="0" w:after="240"/>
      <w:ind w:firstLine="720" w:start="1440" w:end="1440"/>
    </w:pPr>
    <w:rPr/>
  </w:style>
  <w:style w:type="paragraph" w:styleId="BodyQuote11J">
    <w:name w:val="Body Quote 1/1 J"/>
    <w:basedOn w:val="Normal"/>
    <w:qFormat/>
    <w:pPr>
      <w:spacing w:before="0" w:after="240"/>
      <w:ind w:hanging="0" w:start="1440" w:end="1440"/>
      <w:jc w:val="both"/>
    </w:pPr>
    <w:rPr/>
  </w:style>
  <w:style w:type="paragraph" w:styleId="BodySingleSp">
    <w:name w:val="Body Single Sp"/>
    <w:basedOn w:val="Normal"/>
    <w:qFormat/>
    <w:pPr>
      <w:spacing w:before="0" w:after="240"/>
    </w:pPr>
    <w:rPr/>
  </w:style>
  <w:style w:type="paragraph" w:styleId="BodySingleSp5">
    <w:name w:val="Body Single Sp .5"/>
    <w:basedOn w:val="Normal"/>
    <w:qFormat/>
    <w:pPr>
      <w:spacing w:before="0" w:after="240"/>
      <w:ind w:firstLine="720" w:start="0" w:end="0"/>
    </w:pPr>
    <w:rPr/>
  </w:style>
  <w:style w:type="paragraph" w:styleId="BodySingleSp5J">
    <w:name w:val="Body Single Sp .5 J"/>
    <w:basedOn w:val="Normal"/>
    <w:qFormat/>
    <w:pPr>
      <w:spacing w:before="0" w:after="240"/>
      <w:ind w:firstLine="720" w:start="0" w:end="0"/>
      <w:jc w:val="both"/>
    </w:pPr>
    <w:rPr/>
  </w:style>
  <w:style w:type="paragraph" w:styleId="BodySingleSp1">
    <w:name w:val="Body Single Sp 1"/>
    <w:basedOn w:val="Normal"/>
    <w:qFormat/>
    <w:pPr>
      <w:spacing w:before="0" w:after="240"/>
      <w:ind w:firstLine="1440" w:start="0" w:end="0"/>
    </w:pPr>
    <w:rPr/>
  </w:style>
  <w:style w:type="paragraph" w:styleId="BodySingleSp1J">
    <w:name w:val="Body Single Sp 1 J"/>
    <w:basedOn w:val="Normal"/>
    <w:qFormat/>
    <w:pPr>
      <w:spacing w:before="0" w:after="240"/>
      <w:ind w:firstLine="1440" w:start="0" w:end="0"/>
      <w:jc w:val="both"/>
    </w:pPr>
    <w:rPr/>
  </w:style>
  <w:style w:type="paragraph" w:styleId="BodySingleSpJ">
    <w:name w:val="Body Single Sp J"/>
    <w:basedOn w:val="Normal"/>
    <w:qFormat/>
    <w:pPr>
      <w:spacing w:before="0" w:after="240"/>
      <w:jc w:val="both"/>
    </w:pPr>
    <w:rPr/>
  </w:style>
  <w:style w:type="paragraph" w:styleId="CommentText">
    <w:name w:val="Comment Text"/>
    <w:basedOn w:val="Normal"/>
    <w:qFormat/>
    <w:pPr/>
    <w:rPr>
      <w:sz w:val="20"/>
    </w:rPr>
  </w:style>
  <w:style w:type="paragraph" w:styleId="DocumentMap">
    <w:name w:val="Document Map"/>
    <w:basedOn w:val="Normal"/>
    <w:qFormat/>
    <w:pPr/>
    <w:rPr>
      <w:rFonts w:ascii="Tahoma" w:hAnsi="Tahoma" w:cs="Tahoma"/>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tyle>
  <w:style w:type="paragraph" w:styleId="EndnoteTextMore">
    <w:name w:val="Endnote TextMore"/>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rFonts w:cs="Arial"/>
      <w:sz w:val="20"/>
    </w:rPr>
  </w:style>
  <w:style w:type="paragraph" w:styleId="FootnoteText">
    <w:name w:val="footnote text"/>
    <w:basedOn w:val="Normal"/>
    <w:pPr>
      <w:spacing w:before="240" w:after="0"/>
    </w:pPr>
    <w:rPr>
      <w:sz w:val="20"/>
    </w:rPr>
  </w:style>
  <w:style w:type="paragraph" w:styleId="FootnoteTextMore">
    <w:name w:val="Footnote TextMore"/>
    <w:basedOn w:val="FootnoteText"/>
    <w:qFormat/>
    <w:pPr/>
    <w:rPr/>
  </w:style>
  <w:style w:type="paragraph" w:styleId="Hang55">
    <w:name w:val="Hang .5/.5"/>
    <w:basedOn w:val="Normal"/>
    <w:qFormat/>
    <w:pPr>
      <w:spacing w:before="0" w:after="240"/>
      <w:ind w:hanging="720" w:start="1440" w:end="0"/>
    </w:pPr>
    <w:rPr/>
  </w:style>
  <w:style w:type="paragraph" w:styleId="Hang05">
    <w:name w:val="Hang 0/.5"/>
    <w:basedOn w:val="Normal"/>
    <w:qFormat/>
    <w:pPr>
      <w:spacing w:before="0" w:after="240"/>
      <w:ind w:hanging="720" w:start="720" w:end="0"/>
    </w:pPr>
    <w:rPr/>
  </w:style>
  <w:style w:type="paragraph" w:styleId="Index1">
    <w:name w:val="index 1"/>
    <w:basedOn w:val="Index"/>
    <w:next w:val="Normal"/>
    <w:pPr/>
    <w:rPr/>
  </w:style>
  <w:style w:type="paragraph" w:styleId="Index2">
    <w:name w:val="index 2"/>
    <w:basedOn w:val="Index1"/>
    <w:next w:val="Normal"/>
    <w:pPr>
      <w:ind w:hanging="0" w:start="360" w:end="0"/>
    </w:pPr>
    <w:rPr/>
  </w:style>
  <w:style w:type="paragraph" w:styleId="Index3">
    <w:name w:val="index 3"/>
    <w:basedOn w:val="Index2"/>
    <w:next w:val="Normal"/>
    <w:pPr>
      <w:ind w:hanging="0" w:start="720" w:end="0"/>
    </w:pPr>
    <w:rPr/>
  </w:style>
  <w:style w:type="paragraph" w:styleId="Index4">
    <w:name w:val="Index 4"/>
    <w:basedOn w:val="Index3"/>
    <w:next w:val="Normal"/>
    <w:qFormat/>
    <w:pPr>
      <w:ind w:hanging="0" w:start="1080" w:end="0"/>
    </w:pPr>
    <w:rPr/>
  </w:style>
  <w:style w:type="paragraph" w:styleId="Index5">
    <w:name w:val="Index 5"/>
    <w:basedOn w:val="Index4"/>
    <w:next w:val="Normal"/>
    <w:qFormat/>
    <w:pPr>
      <w:ind w:hanging="0" w:start="1440" w:end="0"/>
    </w:pPr>
    <w:rPr/>
  </w:style>
  <w:style w:type="paragraph" w:styleId="Index6">
    <w:name w:val="Index 6"/>
    <w:basedOn w:val="Index5"/>
    <w:next w:val="Normal"/>
    <w:qFormat/>
    <w:pPr>
      <w:ind w:hanging="0" w:start="1800" w:end="0"/>
    </w:pPr>
    <w:rPr/>
  </w:style>
  <w:style w:type="paragraph" w:styleId="Index7">
    <w:name w:val="Index 7"/>
    <w:basedOn w:val="Index6"/>
    <w:next w:val="Normal"/>
    <w:qFormat/>
    <w:pPr>
      <w:ind w:hanging="0" w:start="2160" w:end="0"/>
    </w:pPr>
    <w:rPr/>
  </w:style>
  <w:style w:type="paragraph" w:styleId="Index8">
    <w:name w:val="Index 8"/>
    <w:basedOn w:val="Index7"/>
    <w:next w:val="Normal"/>
    <w:qFormat/>
    <w:pPr>
      <w:ind w:hanging="0" w:start="2520" w:end="0"/>
    </w:pPr>
    <w:rPr/>
  </w:style>
  <w:style w:type="paragraph" w:styleId="Index9">
    <w:name w:val="Index 9"/>
    <w:basedOn w:val="Index8"/>
    <w:next w:val="Normal"/>
    <w:qFormat/>
    <w:pPr>
      <w:ind w:hanging="0" w:start="2880" w:end="0"/>
    </w:pPr>
    <w:rPr/>
  </w:style>
  <w:style w:type="paragraph" w:styleId="IndexHeading">
    <w:name w:val="index heading"/>
    <w:basedOn w:val="Normal"/>
    <w:next w:val="Index1"/>
    <w:pPr/>
    <w:rPr/>
  </w:style>
  <w:style w:type="paragraph" w:styleId="JennerNormal">
    <w:name w:val="Jenner_Normal"/>
    <w:basedOn w:val="Normal"/>
    <w:qFormat/>
    <w:pPr>
      <w:spacing w:before="240" w:after="0"/>
      <w:ind w:firstLine="1440" w:start="0" w:end="0"/>
    </w:pPr>
    <w:rPr/>
  </w:style>
  <w:style w:type="paragraph" w:styleId="JNjustified">
    <w:name w:val="JN_justified"/>
    <w:basedOn w:val="JennerNormal"/>
    <w:qFormat/>
    <w:pPr>
      <w:jc w:val="both"/>
    </w:pPr>
    <w:rPr/>
  </w:style>
  <w:style w:type="paragraph" w:styleId="ListNumber">
    <w:name w:val="List Number"/>
    <w:basedOn w:val="Normal"/>
    <w:qFormat/>
    <w:pPr>
      <w:numPr>
        <w:ilvl w:val="0"/>
        <w:numId w:val="2"/>
      </w:numPr>
      <w:tabs>
        <w:tab w:val="clear" w:pos="720"/>
        <w:tab w:val="left" w:pos="1800" w:leader="none"/>
      </w:tabs>
      <w:spacing w:before="240" w:after="0"/>
      <w:ind w:firstLine="1440" w:start="0" w:end="0"/>
    </w:pPr>
    <w:rPr/>
  </w:style>
  <w:style w:type="paragraph" w:styleId="ListNumber2">
    <w:name w:val="List Number 2"/>
    <w:basedOn w:val="Normal"/>
    <w:qFormat/>
    <w:pPr>
      <w:numPr>
        <w:ilvl w:val="0"/>
        <w:numId w:val="9"/>
      </w:numPr>
      <w:spacing w:before="240" w:after="0"/>
      <w:outlineLvl w:val="1"/>
    </w:pPr>
    <w:rPr/>
  </w:style>
  <w:style w:type="paragraph" w:styleId="NormalIndent">
    <w:name w:val="Normal Indent"/>
    <w:basedOn w:val="Normal"/>
    <w:qFormat/>
    <w:pPr>
      <w:ind w:firstLine="720" w:start="0" w:end="0"/>
    </w:pPr>
    <w:rPr>
      <w:sz w:val="20"/>
    </w:rPr>
  </w:style>
  <w:style w:type="paragraph" w:styleId="Numbered155">
    <w:name w:val="Numbered 1 .5/.5"/>
    <w:basedOn w:val="Normal"/>
    <w:qFormat/>
    <w:pPr>
      <w:numPr>
        <w:ilvl w:val="0"/>
        <w:numId w:val="13"/>
      </w:numPr>
      <w:tabs>
        <w:tab w:val="clear" w:pos="720"/>
      </w:tabs>
      <w:spacing w:before="0" w:after="240"/>
    </w:pPr>
    <w:rPr/>
  </w:style>
  <w:style w:type="paragraph" w:styleId="Numbered105">
    <w:name w:val="Numbered 1 0/.5"/>
    <w:basedOn w:val="Normal"/>
    <w:qFormat/>
    <w:pPr>
      <w:numPr>
        <w:ilvl w:val="0"/>
        <w:numId w:val="6"/>
      </w:numPr>
      <w:tabs>
        <w:tab w:val="clear" w:pos="720"/>
      </w:tabs>
      <w:spacing w:before="0" w:after="240"/>
    </w:pPr>
    <w:rPr/>
  </w:style>
  <w:style w:type="paragraph" w:styleId="Numbereda55">
    <w:name w:val="Numbered a .5/.5"/>
    <w:basedOn w:val="Normal"/>
    <w:qFormat/>
    <w:pPr>
      <w:numPr>
        <w:ilvl w:val="0"/>
        <w:numId w:val="10"/>
      </w:numPr>
      <w:tabs>
        <w:tab w:val="clear" w:pos="720"/>
      </w:tabs>
      <w:spacing w:before="0" w:after="240"/>
    </w:pPr>
    <w:rPr/>
  </w:style>
  <w:style w:type="paragraph" w:styleId="NumberedA551">
    <w:name w:val="Numbered A .5/.51"/>
    <w:basedOn w:val="Normal"/>
    <w:qFormat/>
    <w:pPr>
      <w:numPr>
        <w:ilvl w:val="0"/>
        <w:numId w:val="7"/>
      </w:numPr>
      <w:tabs>
        <w:tab w:val="clear" w:pos="720"/>
      </w:tabs>
      <w:spacing w:before="0" w:after="240"/>
    </w:pPr>
    <w:rPr/>
  </w:style>
  <w:style w:type="paragraph" w:styleId="Numbereda05">
    <w:name w:val="Numbered a 0/.5"/>
    <w:basedOn w:val="Normal"/>
    <w:qFormat/>
    <w:pPr>
      <w:numPr>
        <w:ilvl w:val="0"/>
        <w:numId w:val="4"/>
      </w:numPr>
      <w:tabs>
        <w:tab w:val="clear" w:pos="720"/>
      </w:tabs>
      <w:spacing w:before="0" w:after="240"/>
    </w:pPr>
    <w:rPr/>
  </w:style>
  <w:style w:type="paragraph" w:styleId="NumberedA051">
    <w:name w:val="Numbered A 0/.51"/>
    <w:basedOn w:val="Normal"/>
    <w:qFormat/>
    <w:pPr>
      <w:numPr>
        <w:ilvl w:val="0"/>
        <w:numId w:val="8"/>
      </w:numPr>
      <w:tabs>
        <w:tab w:val="clear" w:pos="720"/>
      </w:tabs>
      <w:spacing w:before="0" w:after="240"/>
    </w:pPr>
    <w:rPr/>
  </w:style>
  <w:style w:type="paragraph" w:styleId="Numberedi55">
    <w:name w:val="Numbered i .5/.5"/>
    <w:basedOn w:val="Normal"/>
    <w:qFormat/>
    <w:pPr>
      <w:numPr>
        <w:ilvl w:val="0"/>
        <w:numId w:val="5"/>
      </w:numPr>
      <w:tabs>
        <w:tab w:val="clear" w:pos="720"/>
      </w:tabs>
      <w:spacing w:before="0" w:after="240"/>
    </w:pPr>
    <w:rPr/>
  </w:style>
  <w:style w:type="paragraph" w:styleId="NumberedI551">
    <w:name w:val="Numbered I .5/.51"/>
    <w:basedOn w:val="Normal"/>
    <w:qFormat/>
    <w:pPr>
      <w:numPr>
        <w:ilvl w:val="0"/>
        <w:numId w:val="11"/>
      </w:numPr>
      <w:tabs>
        <w:tab w:val="clear" w:pos="720"/>
      </w:tabs>
      <w:spacing w:before="0" w:after="240"/>
    </w:pPr>
    <w:rPr/>
  </w:style>
  <w:style w:type="paragraph" w:styleId="NumberedI05">
    <w:name w:val="Numbered I 0/.5"/>
    <w:basedOn w:val="Normal"/>
    <w:qFormat/>
    <w:pPr>
      <w:numPr>
        <w:ilvl w:val="0"/>
        <w:numId w:val="3"/>
      </w:numPr>
      <w:tabs>
        <w:tab w:val="clear" w:pos="720"/>
      </w:tabs>
      <w:spacing w:before="0" w:after="240"/>
    </w:pPr>
    <w:rPr/>
  </w:style>
  <w:style w:type="paragraph" w:styleId="Numberedi051">
    <w:name w:val="Numbered i 0/.51"/>
    <w:basedOn w:val="Normal"/>
    <w:qFormat/>
    <w:pPr>
      <w:numPr>
        <w:ilvl w:val="0"/>
        <w:numId w:val="12"/>
      </w:numPr>
      <w:tabs>
        <w:tab w:val="clear" w:pos="720"/>
      </w:tabs>
      <w:spacing w:before="0" w:after="240"/>
    </w:pPr>
    <w:rPr/>
  </w:style>
  <w:style w:type="paragraph" w:styleId="Pleadingnormal">
    <w:name w:val="Pleading_normal"/>
    <w:basedOn w:val="Normal"/>
    <w:qFormat/>
    <w:pPr>
      <w:spacing w:lineRule="auto" w:line="480" w:before="120" w:after="0"/>
      <w:ind w:firstLine="720" w:start="1440" w:end="0"/>
      <w:jc w:val="both"/>
    </w:pPr>
    <w:rPr/>
  </w:style>
  <w:style w:type="paragraph" w:styleId="QuoteContinued">
    <w:name w:val="Quote Continued"/>
    <w:basedOn w:val="Normal"/>
    <w:next w:val="BodyText"/>
    <w:qFormat/>
    <w:pPr/>
    <w:rPr/>
  </w:style>
  <w:style w:type="paragraph" w:styleId="Quote">
    <w:name w:val="Quote"/>
    <w:basedOn w:val="Normal"/>
    <w:next w:val="QuoteContinued"/>
    <w:qFormat/>
    <w:pPr>
      <w:spacing w:before="0" w:after="240"/>
      <w:ind w:hanging="0" w:start="1440" w:end="1440"/>
    </w:pPr>
    <w:rPr/>
  </w:style>
  <w:style w:type="paragraph" w:styleId="QuoteDoubleSpace">
    <w:name w:val="Quote DoubleSpace"/>
    <w:basedOn w:val="Quote"/>
    <w:next w:val="QuoteContinued"/>
    <w:qFormat/>
    <w:pPr>
      <w:spacing w:lineRule="auto" w:line="480"/>
    </w:pPr>
    <w:rPr/>
  </w:style>
  <w:style w:type="paragraph" w:styleId="Subtitle">
    <w:name w:val="Subtitle"/>
    <w:basedOn w:val="Normal"/>
    <w:next w:val="BodyText"/>
    <w:qFormat/>
    <w:pPr>
      <w:spacing w:before="360" w:after="120"/>
      <w:ind w:hanging="0" w:start="1440" w:end="1440"/>
      <w:jc w:val="center"/>
    </w:pPr>
    <w:rPr>
      <w:b/>
      <w:caps/>
      <w:u w:val="single"/>
    </w:rPr>
  </w:style>
  <w:style w:type="paragraph" w:styleId="Title">
    <w:name w:val="Title"/>
    <w:basedOn w:val="Normal"/>
    <w:next w:val="BodyText"/>
    <w:qFormat/>
    <w:pPr>
      <w:keepNext w:val="true"/>
      <w:spacing w:before="360" w:after="480"/>
      <w:ind w:hanging="0" w:start="1440" w:end="1440"/>
      <w:jc w:val="center"/>
    </w:pPr>
    <w:rPr>
      <w:b/>
      <w:caps/>
      <w:u w:val="single"/>
    </w:rPr>
  </w:style>
  <w:style w:type="paragraph" w:styleId="TitleBC">
    <w:name w:val="Title BC"/>
    <w:basedOn w:val="Normal"/>
    <w:next w:val="Normal"/>
    <w:qFormat/>
    <w:pPr>
      <w:keepNext w:val="true"/>
      <w:spacing w:before="0" w:after="240"/>
      <w:jc w:val="center"/>
    </w:pPr>
    <w:rPr>
      <w:b/>
    </w:rPr>
  </w:style>
  <w:style w:type="paragraph" w:styleId="TitleBL">
    <w:name w:val="Title BL"/>
    <w:basedOn w:val="Normal"/>
    <w:next w:val="Normal"/>
    <w:qFormat/>
    <w:pPr>
      <w:keepNext w:val="true"/>
      <w:spacing w:before="0" w:after="240"/>
    </w:pPr>
    <w:rPr>
      <w:b/>
    </w:rPr>
  </w:style>
  <w:style w:type="paragraph" w:styleId="TitleBUAC">
    <w:name w:val="Title BUAC"/>
    <w:basedOn w:val="Normal"/>
    <w:next w:val="Normal"/>
    <w:qFormat/>
    <w:pPr>
      <w:keepNext w:val="true"/>
      <w:spacing w:before="360" w:after="360"/>
      <w:ind w:hanging="0" w:start="1440" w:end="1440"/>
      <w:jc w:val="center"/>
    </w:pPr>
    <w:rPr>
      <w:b/>
      <w:caps/>
      <w:u w:val="single"/>
    </w:rPr>
  </w:style>
  <w:style w:type="paragraph" w:styleId="TitleBUAL">
    <w:name w:val="Title BUAL"/>
    <w:basedOn w:val="Normal"/>
    <w:next w:val="Normal"/>
    <w:qFormat/>
    <w:pPr>
      <w:keepNext w:val="true"/>
      <w:spacing w:before="0" w:after="240"/>
    </w:pPr>
    <w:rPr>
      <w:b/>
      <w:caps/>
      <w:u w:val="single"/>
    </w:rPr>
  </w:style>
  <w:style w:type="paragraph" w:styleId="TitleBUC">
    <w:name w:val="Title BUC"/>
    <w:basedOn w:val="Normal"/>
    <w:next w:val="Normal"/>
    <w:qFormat/>
    <w:pPr>
      <w:keepNext w:val="true"/>
      <w:spacing w:before="240" w:after="240"/>
      <w:jc w:val="center"/>
    </w:pPr>
    <w:rPr>
      <w:b/>
      <w:u w:val="single"/>
    </w:rPr>
  </w:style>
  <w:style w:type="paragraph" w:styleId="TitleBUL">
    <w:name w:val="Title BUL"/>
    <w:basedOn w:val="Normal"/>
    <w:next w:val="Normal"/>
    <w:qFormat/>
    <w:pPr>
      <w:keepNext w:val="true"/>
      <w:spacing w:before="0" w:after="240"/>
    </w:pPr>
    <w:rPr>
      <w:b/>
      <w:u w:val="single"/>
    </w:rPr>
  </w:style>
  <w:style w:type="paragraph" w:styleId="TitleC">
    <w:name w:val="Title C"/>
    <w:basedOn w:val="Normal"/>
    <w:qFormat/>
    <w:pPr>
      <w:keepNext w:val="true"/>
      <w:spacing w:before="0" w:after="240"/>
      <w:jc w:val="center"/>
    </w:pPr>
    <w:rPr/>
  </w:style>
  <w:style w:type="paragraph" w:styleId="TitleL">
    <w:name w:val="Title L"/>
    <w:basedOn w:val="Normal"/>
    <w:qFormat/>
    <w:pPr>
      <w:keepNext w:val="true"/>
      <w:spacing w:before="0" w:after="240"/>
    </w:pPr>
    <w:rPr/>
  </w:style>
  <w:style w:type="paragraph" w:styleId="TitleUC">
    <w:name w:val="Title UC"/>
    <w:basedOn w:val="Normal"/>
    <w:next w:val="Normal"/>
    <w:qFormat/>
    <w:pPr>
      <w:keepNext w:val="true"/>
      <w:spacing w:before="240" w:after="360"/>
      <w:jc w:val="center"/>
    </w:pPr>
    <w:rPr>
      <w:caps/>
      <w:u w:val="single"/>
    </w:rPr>
  </w:style>
  <w:style w:type="paragraph" w:styleId="TitleUL">
    <w:name w:val="Title UL"/>
    <w:basedOn w:val="Normal"/>
    <w:next w:val="Normal"/>
    <w:qFormat/>
    <w:pPr>
      <w:keepNext w:val="true"/>
      <w:spacing w:before="0" w:after="240"/>
    </w:pPr>
    <w:rPr>
      <w:u w:val="single"/>
    </w:rPr>
  </w:style>
  <w:style w:type="paragraph" w:styleId="TOC1">
    <w:name w:val="toc 1"/>
    <w:basedOn w:val="Normal"/>
    <w:next w:val="Normal"/>
    <w:pPr>
      <w:keepNext w:val="true"/>
      <w:tabs>
        <w:tab w:val="clear" w:pos="720"/>
        <w:tab w:val="left" w:pos="1440" w:leader="none"/>
        <w:tab w:val="right" w:pos="9360" w:leader="dot"/>
      </w:tabs>
      <w:spacing w:before="240" w:after="0"/>
    </w:pPr>
    <w:rPr>
      <w:rFonts w:ascii="Times New Roman Bold" w:hAnsi="Times New Roman Bold" w:cs="Times New Roman Bold"/>
      <w:b/>
      <w:szCs w:val="24"/>
      <w:lang w:val="en-CA" w:eastAsia="en-CA"/>
    </w:rPr>
  </w:style>
  <w:style w:type="paragraph" w:styleId="TOC2">
    <w:name w:val="toc 2"/>
    <w:basedOn w:val="Normal"/>
    <w:next w:val="Normal"/>
    <w:pPr>
      <w:tabs>
        <w:tab w:val="clear" w:pos="720"/>
        <w:tab w:val="left" w:pos="2520" w:leader="none"/>
        <w:tab w:val="right" w:pos="9360" w:leader="dot"/>
      </w:tabs>
      <w:ind w:hanging="0" w:start="14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2001-10-29T14:08:00Z</dcterms:created>
  <dc:creator>JENNER &amp; BLOCK</dc:creator>
  <dc:description/>
  <dc:language>en-CA</dc:language>
  <cp:lastModifiedBy>cnicola</cp:lastModifiedBy>
  <cp:lastPrinted>2001-10-26T09:48:00Z</cp:lastPrinted>
  <dcterms:modified xsi:type="dcterms:W3CDTF">2001-10-29T14:08:00Z</dcterms:modified>
  <cp:revision>2</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(CHICAGO)_673176_3  10/25/01 5:32 PM</vt:lpwstr>
  </property>
</Properties>
</file>