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footnotes.xml.rels" ContentType="application/vnd.openxmlformats-package.relationships+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8"/>
        </w:rPr>
      </w:pPr>
      <w:r>
        <w:rPr>
          <w:rFonts w:ascii="Times New Roman" w:hAnsi="Times New Roman"/>
          <w:b/>
          <w:sz w:val="28"/>
        </w:rPr>
        <w:t>UNITED STATES OF AMERICA</w:t>
      </w:r>
    </w:p>
    <w:p>
      <w:pPr>
        <w:pStyle w:val="Normal"/>
        <w:bidi w:val="0"/>
        <w:spacing w:lineRule="atLeast" w:line="0"/>
        <w:jc w:val="center"/>
        <w:rPr>
          <w:rFonts w:ascii="Times New Roman" w:hAnsi="Times New Roman"/>
          <w:b/>
          <w:sz w:val="28"/>
        </w:rPr>
      </w:pPr>
      <w:r>
        <w:rPr>
          <w:rFonts w:ascii="Times New Roman" w:hAnsi="Times New Roman"/>
          <w:b/>
          <w:sz w:val="28"/>
        </w:rPr>
        <w:t>BEFORE THE</w:t>
      </w:r>
    </w:p>
    <w:p>
      <w:pPr>
        <w:pStyle w:val="Normal"/>
        <w:bidi w:val="0"/>
        <w:spacing w:lineRule="atLeast" w:line="0"/>
        <w:jc w:val="center"/>
        <w:rPr>
          <w:rFonts w:ascii="Times New Roman" w:hAnsi="Times New Roman"/>
          <w:sz w:val="28"/>
        </w:rPr>
      </w:pPr>
      <w:r>
        <w:rPr>
          <w:rFonts w:ascii="Times New Roman" w:hAnsi="Times New Roman"/>
          <w:b/>
          <w:sz w:val="28"/>
        </w:rPr>
        <w:t>FEDERAL ENERGY REGULATORY COMMISSION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both"/>
        <w:rPr>
          <w:rFonts w:ascii="Times New Roman" w:hAnsi="Times New Roman"/>
          <w:sz w:val="24"/>
        </w:rPr>
      </w:pPr>
      <w:r>
        <w:rPr>
          <w:rFonts w:ascii="Times New Roman" w:hAnsi="Times New Roman"/>
          <w:sz w:val="24"/>
        </w:rPr>
        <w:tab/>
        <w:tab/>
        <w:tab/>
        <w:tab/>
        <w:tab/>
        <w:tab/>
        <w:t>)</w:t>
      </w:r>
    </w:p>
    <w:p>
      <w:pPr>
        <w:pStyle w:val="Normal"/>
        <w:bidi w:val="0"/>
        <w:spacing w:lineRule="atLeast" w:line="0"/>
        <w:jc w:val="both"/>
        <w:rPr>
          <w:rFonts w:ascii="Times New Roman" w:hAnsi="Times New Roman"/>
          <w:sz w:val="24"/>
        </w:rPr>
      </w:pPr>
      <w:r>
        <w:rPr>
          <w:rFonts w:ascii="Times New Roman" w:hAnsi="Times New Roman"/>
          <w:sz w:val="24"/>
        </w:rPr>
        <w:t>AEP Power Marketing, Inc.</w:t>
        <w:tab/>
        <w:tab/>
        <w:tab/>
        <w:t>)</w:t>
        <w:tab/>
        <w:t>Docket No. ER96-2495-015</w:t>
      </w:r>
    </w:p>
    <w:p>
      <w:pPr>
        <w:pStyle w:val="Normal"/>
        <w:bidi w:val="0"/>
        <w:spacing w:lineRule="atLeast" w:line="0"/>
        <w:jc w:val="both"/>
        <w:rPr>
          <w:rFonts w:ascii="Times New Roman" w:hAnsi="Times New Roman"/>
          <w:sz w:val="24"/>
        </w:rPr>
      </w:pPr>
      <w:r>
        <w:rPr>
          <w:rFonts w:ascii="Times New Roman" w:hAnsi="Times New Roman"/>
          <w:sz w:val="24"/>
        </w:rPr>
        <w:t>AEP Service Corporation</w:t>
        <w:tab/>
        <w:tab/>
        <w:tab/>
        <w:t>)</w:t>
        <w:tab/>
        <w:t>Docket No. ER97-4143-003</w:t>
      </w:r>
    </w:p>
    <w:p>
      <w:pPr>
        <w:pStyle w:val="Normal"/>
        <w:bidi w:val="0"/>
        <w:spacing w:lineRule="atLeast" w:line="0"/>
        <w:jc w:val="both"/>
        <w:rPr>
          <w:rFonts w:ascii="Times New Roman" w:hAnsi="Times New Roman"/>
          <w:sz w:val="24"/>
        </w:rPr>
      </w:pPr>
      <w:r>
        <w:rPr>
          <w:rFonts w:ascii="Times New Roman" w:hAnsi="Times New Roman"/>
          <w:sz w:val="24"/>
        </w:rPr>
        <w:t>CSW Power Marketing, Inc.</w:t>
        <w:tab/>
        <w:tab/>
        <w:tab/>
        <w:t>)</w:t>
        <w:tab/>
        <w:t>Docket No. ER97-1238-010</w:t>
      </w:r>
    </w:p>
    <w:p>
      <w:pPr>
        <w:pStyle w:val="Normal"/>
        <w:bidi w:val="0"/>
        <w:spacing w:lineRule="atLeast" w:line="0"/>
        <w:jc w:val="both"/>
        <w:rPr>
          <w:rFonts w:ascii="Times New Roman" w:hAnsi="Times New Roman"/>
          <w:sz w:val="24"/>
        </w:rPr>
      </w:pPr>
      <w:r>
        <w:rPr>
          <w:rFonts w:ascii="Times New Roman" w:hAnsi="Times New Roman"/>
          <w:sz w:val="24"/>
        </w:rPr>
        <w:t>CSW Energy Services, Inc.</w:t>
        <w:tab/>
        <w:tab/>
        <w:tab/>
        <w:t>)</w:t>
        <w:tab/>
        <w:t>Docket No. ER98-2075-009</w:t>
      </w:r>
    </w:p>
    <w:p>
      <w:pPr>
        <w:pStyle w:val="Normal"/>
        <w:bidi w:val="0"/>
        <w:spacing w:lineRule="atLeast" w:line="0"/>
        <w:jc w:val="both"/>
        <w:rPr>
          <w:rFonts w:ascii="Times New Roman" w:hAnsi="Times New Roman"/>
          <w:sz w:val="24"/>
        </w:rPr>
      </w:pPr>
      <w:r>
        <w:rPr>
          <w:rFonts w:ascii="Times New Roman" w:hAnsi="Times New Roman"/>
          <w:sz w:val="24"/>
        </w:rPr>
        <w:t>Central and South West Services, Inc.</w:t>
        <w:tab/>
        <w:t>)</w:t>
        <w:tab/>
        <w:t xml:space="preserve">Docket No. ER98-542-005 </w:t>
      </w:r>
    </w:p>
    <w:p>
      <w:pPr>
        <w:pStyle w:val="Normal"/>
        <w:bidi w:val="0"/>
        <w:spacing w:lineRule="atLeast" w:line="0"/>
        <w:jc w:val="both"/>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6"/>
        </w:rPr>
      </w:pPr>
      <w:r>
        <w:rPr>
          <w:rFonts w:ascii="Times New Roman" w:hAnsi="Times New Roman"/>
          <w:b/>
          <w:sz w:val="26"/>
        </w:rPr>
        <w:t>MOTION FOR LEAVE TO PROTEST OUT OF TIME AND PROTEST</w:t>
      </w:r>
    </w:p>
    <w:p>
      <w:pPr>
        <w:pStyle w:val="Normal"/>
        <w:bidi w:val="0"/>
        <w:spacing w:lineRule="atLeast" w:line="0"/>
        <w:jc w:val="center"/>
        <w:rPr>
          <w:rFonts w:ascii="Times New Roman" w:hAnsi="Times New Roman"/>
          <w:sz w:val="24"/>
        </w:rPr>
      </w:pPr>
      <w:r>
        <w:rPr>
          <w:rFonts w:ascii="Times New Roman" w:hAnsi="Times New Roman"/>
          <w:b/>
          <w:sz w:val="26"/>
        </w:rPr>
        <w:t>OF ENRON POWER MARKETING,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t>Pursuant to 18 C.F.R. § 385.211 and § 385.212 (2000), intervenor Enron Power Marketing, Inc. ("EPMI") hereby moves for leave to submit this protest out of time and protests the market-power analysis filed in the above-captioned dockets.    EPMI asks the Commission to reject the filing or, in the alternative, suspend the market-based rate authority of the filing companies pending an evidentiary hearing on the issue of transmission market power.    In support of its motion, EPMI states as follows:</w:t>
      </w:r>
    </w:p>
    <w:p>
      <w:pPr>
        <w:pStyle w:val="Normal"/>
        <w:bidi w:val="0"/>
        <w:spacing w:lineRule="atLeast" w:line="48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6"/>
        </w:rPr>
      </w:pPr>
      <w:r>
        <w:rPr>
          <w:rFonts w:ascii="Times New Roman" w:hAnsi="Times New Roman"/>
          <w:sz w:val="24"/>
        </w:rPr>
        <w:tab/>
        <w:tab/>
        <w:tab/>
      </w:r>
      <w:r>
        <w:rPr>
          <w:rFonts w:ascii="Times New Roman" w:hAnsi="Times New Roman"/>
          <w:b/>
          <w:sz w:val="26"/>
        </w:rPr>
        <w:tab/>
        <w:t>I.</w:t>
      </w:r>
    </w:p>
    <w:p>
      <w:pPr>
        <w:pStyle w:val="Normal"/>
        <w:bidi w:val="0"/>
        <w:jc w:val="center"/>
        <w:rPr>
          <w:rFonts w:ascii="Times New Roman" w:hAnsi="Times New Roman"/>
          <w:sz w:val="24"/>
        </w:rPr>
      </w:pPr>
      <w:r>
        <w:rPr>
          <w:rFonts w:ascii="Times New Roman" w:hAnsi="Times New Roman"/>
          <w:b/>
          <w:sz w:val="26"/>
        </w:rPr>
        <w:t>MOTION FOR LEAVE TO FILE PROTEST OUT OF TIME</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On August 16, 2000, AEP Power Marketing, Inc., AEP Service Corporation, on behalf of the AEP operating companies (collectively "AEP"), CSW Power Marketing, Inc., CSW Energy Services, Inc. and Central and South West Services, Inc., on behalf of the CSW operating companies, jointly filed an updated market power analysis in support of a three-year continuation of the market-based rate authority that the Commission has granted the filing companies (jointly "AEP Marketing Companies") in an earlier order.    On September 6, 2000, EPMI filed a timely intervention, without protest.    EPMI now seeks Commission leave to protest.</w:t>
      </w:r>
    </w:p>
    <w:p>
      <w:pPr>
        <w:pStyle w:val="Normal"/>
        <w:bidi w:val="0"/>
        <w:spacing w:lineRule="atLeast" w:line="480"/>
        <w:jc w:val="start"/>
        <w:rPr>
          <w:rFonts w:ascii="Times New Roman" w:hAnsi="Times New Roman"/>
          <w:sz w:val="24"/>
        </w:rPr>
      </w:pPr>
      <w:r>
        <w:rPr>
          <w:rFonts w:ascii="Times New Roman" w:hAnsi="Times New Roman"/>
          <w:sz w:val="24"/>
        </w:rPr>
        <w:tab/>
        <w:t xml:space="preserve">Good cause exists to grant this motion for leave to file this protest out of time.    When EPMI filed an intervention on September 6, it was still in the process of obtaining and analyzing data from AEP's OASIS and audit logs that bears directly on whether the Parties and their affiliates possess transmission market power.    Since that time, EPMI has obtained additional information that was not available at the time it filed its intervention and has been able to analyze that information.    </w:t>
      </w:r>
    </w:p>
    <w:p>
      <w:pPr>
        <w:pStyle w:val="Normal"/>
        <w:bidi w:val="0"/>
        <w:spacing w:lineRule="atLeast" w:line="480"/>
        <w:jc w:val="start"/>
        <w:rPr>
          <w:rFonts w:ascii="Times New Roman" w:hAnsi="Times New Roman"/>
          <w:sz w:val="24"/>
        </w:rPr>
      </w:pPr>
      <w:r>
        <w:rPr>
          <w:rFonts w:ascii="Times New Roman" w:hAnsi="Times New Roman"/>
          <w:sz w:val="24"/>
        </w:rPr>
        <w:tab/>
        <w:t xml:space="preserve">At all times, EPMI has diligently pursued its analysis of information pertaining to AEP Marketing Companies' market power.    Obtaining, verifying and analyzing the relevant information is an arduous and time-consuming process.    Based on EPMI's analysis, EPMI concludes that the AEP Marketing Companies' request to maintain its market-based rate authority should be denied because there is compelling evidence that AEP Transmission exercises transmission market power in ways inconsistent with market-based rate authority.    Commission receipt of this evidence, which is explained in the protest below, is necessary to protect the public interest.    </w:t>
      </w:r>
    </w:p>
    <w:p>
      <w:pPr>
        <w:pStyle w:val="Normal"/>
        <w:bidi w:val="0"/>
        <w:spacing w:lineRule="atLeast" w:line="480"/>
        <w:jc w:val="start"/>
        <w:rPr>
          <w:rFonts w:ascii="Times New Roman" w:hAnsi="Times New Roman"/>
          <w:sz w:val="26"/>
        </w:rPr>
      </w:pPr>
      <w:r>
        <w:rPr>
          <w:rFonts w:ascii="Times New Roman" w:hAnsi="Times New Roman"/>
          <w:sz w:val="24"/>
        </w:rPr>
        <w:tab/>
        <w:t xml:space="preserve">EPMI's protest will not prejudice or burden any party or cause any disruptions in this proceeding, nor will the resolution of this proceeding be delayed or affected in any manner by this protest, since EPMI accepts the record as it finds it.    Under these circumstances, the Commission should accept EPMI's late-filed protest in an effort to ensure that all interested parties have the opportunity to air their concerns before the Commission. 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6"/>
        </w:rPr>
      </w:pPr>
      <w:r>
        <w:rPr>
          <w:rFonts w:ascii="Times New Roman" w:hAnsi="Times New Roman"/>
          <w:sz w:val="24"/>
        </w:rPr>
        <w:tab/>
      </w:r>
      <w:r>
        <w:rPr>
          <w:rFonts w:ascii="Times New Roman" w:hAnsi="Times New Roman"/>
          <w:b/>
          <w:sz w:val="24"/>
        </w:rPr>
        <w:tab/>
      </w:r>
      <w:r>
        <w:rPr>
          <w:rFonts w:ascii="Times New Roman" w:hAnsi="Times New Roman"/>
          <w:b/>
          <w:sz w:val="26"/>
        </w:rPr>
        <w:t xml:space="preserve">II. </w:t>
      </w:r>
    </w:p>
    <w:p>
      <w:pPr>
        <w:pStyle w:val="Normal"/>
        <w:bidi w:val="0"/>
        <w:jc w:val="center"/>
        <w:rPr>
          <w:rFonts w:ascii="Times New Roman" w:hAnsi="Times New Roman"/>
          <w:sz w:val="24"/>
        </w:rPr>
      </w:pPr>
      <w:r>
        <w:rPr>
          <w:rFonts w:ascii="Times New Roman" w:hAnsi="Times New Roman"/>
          <w:b/>
          <w:sz w:val="26"/>
        </w:rPr>
        <w:t>PROTEST</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In various earlier orders,</w:t>
      </w:r>
      <w:r>
        <w:rPr>
          <w:rStyle w:val="FootnoteReference"/>
          <w:rFonts w:ascii="Times New Roman" w:hAnsi="Times New Roman"/>
          <w:sz w:val="24"/>
          <w:vertAlign w:val="superscript"/>
        </w:rPr>
        <w:footnoteReference w:id="2"/>
      </w:r>
      <w:r>
        <w:rPr>
          <w:rFonts w:ascii="Times New Roman" w:hAnsi="Times New Roman"/>
          <w:sz w:val="24"/>
        </w:rPr>
        <w:t xml:space="preserve"> the Commission accepted AEP Marketing Companies' existing market-based rate schedules, authorizing them to wholesale electric power at market- (as opposed to cost-) based rates.    Grants of authority were explicitly conditioned on the ability of AEP Marketing Companies to demonstrate at the time of the earlier orders and every three years thereafter that neither AEP Marketing Companies nor their affiliates possesses market power in generation or transmission or, alternatively, has mitigated any such market power.    With respect to transmission market power, AEP Marketing Companies contended that adoption of the Commission's </w:t>
      </w:r>
      <w:r>
        <w:rPr>
          <w:rFonts w:ascii="Times New Roman" w:hAnsi="Times New Roman"/>
          <w:i/>
          <w:sz w:val="24"/>
        </w:rPr>
        <w:t>pro forma</w:t>
      </w:r>
      <w:r>
        <w:rPr>
          <w:rFonts w:ascii="Times New Roman" w:hAnsi="Times New Roman"/>
          <w:sz w:val="24"/>
        </w:rPr>
        <w:t xml:space="preserve"> open-access transmission tariff ("OATT") in itself mitigates the transmission market power of their transmission owning affiliates.    Consistent with its precedents, </w:t>
      </w:r>
      <w:r>
        <w:rPr>
          <w:rFonts w:ascii="Times New Roman" w:hAnsi="Times New Roman"/>
          <w:i/>
          <w:sz w:val="24"/>
        </w:rPr>
        <w:t>see, e.g, Texas New Mexico Power Co.</w:t>
      </w:r>
      <w:r>
        <w:rPr>
          <w:rFonts w:ascii="Times New Roman" w:hAnsi="Times New Roman"/>
          <w:sz w:val="24"/>
        </w:rPr>
        <w:t xml:space="preserve">, 78 F.E.R.C. ¶ 61,187, at 61,799 (1997); </w:t>
      </w:r>
      <w:r>
        <w:rPr>
          <w:rFonts w:ascii="Times New Roman" w:hAnsi="Times New Roman"/>
          <w:i/>
          <w:sz w:val="24"/>
        </w:rPr>
        <w:t>Progress Power Marketing, Inc.</w:t>
      </w:r>
      <w:r>
        <w:rPr>
          <w:rFonts w:ascii="Times New Roman" w:hAnsi="Times New Roman"/>
          <w:sz w:val="24"/>
        </w:rPr>
        <w:t>, 76 F.E.R.C. ¶ 61,155, at 61,919 (1996) the Commission concurred in its earlier orders.</w:t>
      </w:r>
    </w:p>
    <w:p>
      <w:pPr>
        <w:pStyle w:val="Normal"/>
        <w:bidi w:val="0"/>
        <w:spacing w:lineRule="atLeast" w:line="480"/>
        <w:jc w:val="start"/>
        <w:rPr>
          <w:rFonts w:ascii="Times New Roman" w:hAnsi="Times New Roman"/>
          <w:sz w:val="24"/>
        </w:rPr>
      </w:pPr>
      <w:r>
        <w:rPr>
          <w:rFonts w:ascii="Times New Roman" w:hAnsi="Times New Roman"/>
          <w:sz w:val="24"/>
        </w:rPr>
        <w:tab/>
        <w:t xml:space="preserve">In the instant filing, AEP Marketing Companies again point to the OATT of the recently merged AEP and CSW as conclusive evidence that transmission market power is mitigated.    Today, however, the Commission cannot and should not reach the same conclusion.    Evidence presented and described below indicates that AEP Marketing Companies transmission-owning affiliate, AEP Transmission, while it has an OATT on file, flouts both the letter and spirit of the OATT.    To the contrary, AEP Transmission exercises transmission market power in order to advantage AEP Marketing Companies over their wholesale competitors.    The evidence shows that AEP exercised transmission market power for this purpose during peak usage days during summer 1999.    Even more troubling, the most recent information and data that EPMI has obtained indicate that AEP Transmission has been able to continue to exercise transmission market power even after May 1, 2000, when it ostensibly relinquished control over certain of its transmission operations to the Southwest Power Pool ("SPP"). </w:t>
      </w:r>
    </w:p>
    <w:p>
      <w:pPr>
        <w:pStyle w:val="Normal"/>
        <w:bidi w:val="0"/>
        <w:spacing w:lineRule="atLeast" w:line="480"/>
        <w:jc w:val="start"/>
        <w:rPr>
          <w:rFonts w:ascii="Times New Roman" w:hAnsi="Times New Roman"/>
          <w:sz w:val="24"/>
        </w:rPr>
      </w:pPr>
      <w:r>
        <w:rPr>
          <w:rFonts w:ascii="Times New Roman" w:hAnsi="Times New Roman"/>
          <w:sz w:val="24"/>
        </w:rPr>
        <w:tab/>
        <w:t xml:space="preserve">Because of this evidence, the Commission must reject the instant filing,    invalidate AEP Marketing Companies' market-based rate schedules, and revoke their authority to vend wholesale power at market prices.    At a minimum, EPMI asks the Commission to suspend AEP Marketing Companies' market pricing authority pending an evidentiary hearing on AEP Transmission's apparent exercises of transmission market power. </w:t>
      </w:r>
    </w:p>
    <w:p>
      <w:pPr>
        <w:sectPr>
          <w:headerReference w:type="even" r:id="rId2"/>
          <w:headerReference w:type="default" r:id="rId3"/>
          <w:headerReference w:type="first" r:id="rId4"/>
          <w:footnotePr>
            <w:numFmt w:val="decimal"/>
            <w:numRestart w:val="eachSect"/>
          </w:footnotePr>
          <w:type w:val="nextPage"/>
          <w:pgSz w:w="12240" w:h="15840"/>
          <w:pgMar w:left="1440" w:right="1440" w:gutter="0" w:header="1440" w:top="1497" w:footer="0" w:bottom="630"/>
          <w:pgNumType w:fmt="decimal"/>
          <w:formProt w:val="false"/>
          <w:titlePg/>
          <w:textDirection w:val="lrTb"/>
        </w:sectPr>
      </w:pPr>
    </w:p>
    <w:p>
      <w:pPr>
        <w:pStyle w:val="1AutoList1"/>
        <w:tabs>
          <w:tab w:val="left" w:pos="720" w:leader="none"/>
          <w:tab w:val="left" w:pos="1440" w:leader="none"/>
        </w:tabs>
        <w:bidi w:val="0"/>
        <w:spacing w:lineRule="auto" w:line="240"/>
        <w:ind w:hanging="1440" w:start="1440"/>
        <w:jc w:val="start"/>
        <w:rPr>
          <w:rFonts w:ascii="Times New Roman" w:hAnsi="Times New Roman"/>
          <w:b/>
          <w:i/>
          <w:i/>
          <w:sz w:val="26"/>
        </w:rPr>
      </w:pPr>
      <w:r>
        <w:rPr>
          <w:rFonts w:ascii="Times New Roman" w:hAnsi="Times New Roman"/>
          <w:b/>
          <w:i/>
          <w:sz w:val="26"/>
        </w:rPr>
        <w:tab/>
        <w:t>AEP's OASIS Indicates Discrimination in Favor of AEP Marketing Companies During Summer 1999</w:t>
      </w:r>
    </w:p>
    <w:p>
      <w:pPr>
        <w:pStyle w:val="Normal"/>
        <w:bidi w:val="0"/>
        <w:jc w:val="start"/>
        <w:rPr>
          <w:rFonts w:ascii="Times New Roman" w:hAnsi="Times New Roman"/>
          <w:b/>
          <w:i/>
          <w:i/>
          <w:sz w:val="26"/>
        </w:rPr>
      </w:pPr>
      <w:r>
        <w:rPr>
          <w:rFonts w:ascii="Times New Roman" w:hAnsi="Times New Roman"/>
          <w:b/>
          <w:i/>
          <w:sz w:val="26"/>
        </w:rPr>
      </w:r>
    </w:p>
    <w:p>
      <w:pPr>
        <w:pStyle w:val="Normal"/>
        <w:bidi w:val="0"/>
        <w:spacing w:lineRule="atLeast" w:line="480"/>
        <w:ind w:firstLine="1080"/>
        <w:jc w:val="start"/>
        <w:rPr>
          <w:rFonts w:ascii="Times New Roman" w:hAnsi="Times New Roman"/>
          <w:sz w:val="24"/>
        </w:rPr>
      </w:pPr>
      <w:r>
        <w:rPr>
          <w:rFonts w:ascii="Times New Roman" w:hAnsi="Times New Roman"/>
          <w:sz w:val="24"/>
        </w:rPr>
        <w:t xml:space="preserve">Analysis of postings from summer 1999 on AEP's open-access same-time information system ("OASIS") site indicates a pattern of AEP Transmission granting AEP Marketing Companies' transmission requests at points in time when the same service was denied to others, and when compliance with the OATT should have required AEP to reject AEP Marketing Companies' requests.    Specifically, AEP appears to have granted service to AEP Marketing Companies, despite there being insufficient posted Available Transfer Capability ("ATC").    At the same time, </w:t>
      </w:r>
      <w:r>
        <w:rPr>
          <w:rFonts w:ascii="Times New Roman" w:hAnsi="Times New Roman"/>
          <w:i/>
          <w:sz w:val="24"/>
        </w:rPr>
        <w:t>consistent with posted ATC</w:t>
      </w:r>
      <w:r>
        <w:rPr>
          <w:rFonts w:ascii="Times New Roman" w:hAnsi="Times New Roman"/>
          <w:sz w:val="24"/>
        </w:rPr>
        <w:t>, AEP denied the competing requests of other transmission customers.</w:t>
      </w:r>
    </w:p>
    <w:p>
      <w:pPr>
        <w:pStyle w:val="BodyText3"/>
        <w:bidi w:val="0"/>
        <w:spacing w:lineRule="atLeast" w:line="480"/>
        <w:ind w:firstLine="1080"/>
        <w:jc w:val="start"/>
        <w:rPr>
          <w:rFonts w:ascii="Garamond" w:hAnsi="Garamond"/>
          <w:u w:val="single"/>
        </w:rPr>
      </w:pPr>
      <w:r>
        <w:rPr>
          <w:rFonts w:ascii="Times New Roman" w:hAnsi="Times New Roman"/>
        </w:rPr>
        <w:t>On June 10, 1999, at 1:30 pm, AEP Transmission confirmed a request by AEP Marketing Companies for 50 megawatts ("MW") of daily firm service on June 11, 1999.</w:t>
      </w:r>
    </w:p>
    <w:p>
      <w:pPr>
        <w:pStyle w:val="Normal"/>
        <w:bidi w:val="0"/>
        <w:spacing w:lineRule="atLeast" w:line="480"/>
        <w:ind w:firstLine="1080"/>
        <w:jc w:val="start"/>
        <w:rPr>
          <w:rFonts w:ascii="Times New Roman" w:hAnsi="Times New Roman"/>
          <w:sz w:val="24"/>
        </w:rPr>
      </w:pPr>
      <w:r>
        <w:rPr>
          <w:rFonts w:ascii="Garamond" w:hAnsi="Garamond"/>
          <w:sz w:val="24"/>
          <w:u w:val="single"/>
        </w:rPr>
        <w:t>Exhibit 1: Requests for AEP-MECS Daily Firm Service for June 11, 1999</w:t>
      </w:r>
    </w:p>
    <w:p>
      <w:pPr>
        <w:pStyle w:val="Normal"/>
        <w:pBdr/>
        <w:bidi w:val="0"/>
        <w:spacing w:lineRule="atLeast" w:line="0"/>
        <w:jc w:val="start"/>
        <w:rPr>
          <w:sz w:val="24"/>
        </w:rPr>
        <w:framePr w:w="9504" w:h="1774" w:x="36" w:y="124" w:hSpace="0" w:vSpace="0" w:wrap="notBeside" w:vAnchor="page" w:hAnchor="text" w:hRule="exact"/>
      </w:pPr>
      <w:r>
        <w:rPr/>
        <w:drawing>
          <wp:inline distT="0" distB="0" distL="0" distR="0">
            <wp:extent cx="6035040" cy="7759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5"/>
                    <a:stretch>
                      <a:fillRect/>
                    </a:stretch>
                  </pic:blipFill>
                  <pic:spPr bwMode="auto">
                    <a:xfrm>
                      <a:off x="0" y="0"/>
                      <a:ext cx="6035040" cy="775970"/>
                    </a:xfrm>
                    <a:prstGeom prst="rect">
                      <a:avLst/>
                    </a:prstGeom>
                    <a:noFill/>
                  </pic:spPr>
                </pic:pic>
              </a:graphicData>
            </a:graphic>
          </wp:inline>
        </w:drawing>
      </w:r>
    </w:p>
    <w:p>
      <w:pPr>
        <w:pStyle w:val="Normal"/>
        <w:pBdr/>
        <w:shd w:fill="FFFFFF"/>
        <w:bidi w:val="0"/>
        <w:spacing w:lineRule="atLeast" w:line="0"/>
        <w:jc w:val="start"/>
        <w:rPr>
          <w:sz w:val="24"/>
        </w:rPr>
        <w:framePr w:w="9504" w:h="1774" w:x="36" w:y="124" w:hSpace="0" w:vSpace="0" w:wrap="notBeside" w:vAnchor="page" w:hAnchor="text" w:hRule="exact"/>
      </w:pPr>
      <w:r>
        <w:rPr>
          <w:sz w:val="24"/>
        </w:rPr>
      </w:r>
    </w:p>
    <w:p>
      <w:pPr>
        <w:pStyle w:val="Normal"/>
        <w:pBdr/>
        <w:shd w:fill="FFFFFF"/>
        <w:bidi w:val="0"/>
        <w:spacing w:lineRule="atLeast" w:line="0"/>
        <w:jc w:val="start"/>
        <w:rPr>
          <w:sz w:val="24"/>
        </w:rPr>
        <w:framePr w:w="9504" w:h="1774" w:x="36" w:y="124" w:hSpace="0" w:vSpace="0" w:wrap="notBeside" w:vAnchor="page" w:hAnchor="text" w:hRule="exact"/>
      </w:pPr>
      <w:r>
        <w:rPr>
          <w:sz w:val="24"/>
        </w:rPr>
      </w:r>
    </w:p>
    <w:p>
      <w:pPr>
        <w:pStyle w:val="Normal"/>
        <w:bidi w:val="0"/>
        <w:spacing w:lineRule="atLeast" w:line="480"/>
        <w:jc w:val="start"/>
        <w:rPr>
          <w:rFonts w:ascii="Times New Roman" w:hAnsi="Times New Roman"/>
          <w:sz w:val="24"/>
        </w:rPr>
      </w:pPr>
      <w:r>
        <w:rPr>
          <w:rFonts w:ascii="Times New Roman" w:hAnsi="Times New Roman"/>
          <w:sz w:val="24"/>
        </w:rPr>
        <w:t>Exhibit 1 shows that AEP Transmission queued this request at 12:49 pm on June 10.    Consistent with OATT rules, AEP Transmission should not have granted this request.    As shown in Exhibit 2, during the period from10:45 am on June 10 through 1:06 pm on June 11, ATC posted for June 11 was zero.    There is no apparent explanation of how AEP Transmission, consistent with the OATT, could agree to provide its affiliate with 50 MW on June 11 at a point in time when no MW were posted as being available for that day.</w:t>
      </w:r>
    </w:p>
    <w:p>
      <w:pPr>
        <w:pStyle w:val="Normal"/>
        <w:bidi w:val="0"/>
        <w:spacing w:lineRule="atLeast" w:line="480"/>
        <w:ind w:firstLine="1080"/>
        <w:jc w:val="start"/>
        <w:rPr>
          <w:rFonts w:ascii="Times New Roman" w:hAnsi="Times New Roman"/>
          <w:sz w:val="24"/>
        </w:rPr>
      </w:pPr>
      <w:r>
        <w:rPr>
          <w:rFonts w:ascii="Garamond" w:hAnsi="Garamond"/>
          <w:sz w:val="24"/>
          <w:u w:val="single"/>
        </w:rPr>
        <w:tab/>
        <w:t>Exhibit 2: ATC Audit Log for AEP-MECS Daily Firm Service for June 11, 1999</w:t>
      </w:r>
    </w:p>
    <w:p>
      <w:pPr>
        <w:pStyle w:val="Normal"/>
        <w:bidi w:val="0"/>
        <w:spacing w:lineRule="atLeast" w:line="480"/>
        <w:ind w:firstLine="1080"/>
        <w:jc w:val="start"/>
        <w:rPr>
          <w:rFonts w:ascii="Garamond" w:hAnsi="Garamond"/>
          <w:sz w:val="24"/>
          <w:u w:val="single"/>
        </w:rPr>
      </w:pPr>
      <w:r>
        <w:rPr>
          <w:rFonts w:ascii="Garamond" w:hAnsi="Garamond"/>
          <w:sz w:val="24"/>
          <w:u w:val="single"/>
        </w:rPr>
      </w:r>
    </w:p>
    <w:p>
      <w:pPr>
        <w:pStyle w:val="Normal"/>
        <w:pBdr/>
        <w:bidi w:val="0"/>
        <w:spacing w:lineRule="atLeast" w:line="0"/>
        <w:jc w:val="start"/>
        <w:rPr>
          <w:sz w:val="24"/>
        </w:rPr>
        <w:framePr w:w="8632" w:h="2619" w:x="324" w:y="261" w:hSpace="0" w:vSpace="0" w:wrap="notBeside" w:vAnchor="page" w:hAnchor="text" w:hRule="exact"/>
      </w:pPr>
      <w:r>
        <w:rPr/>
        <w:drawing>
          <wp:inline distT="0" distB="0" distL="0" distR="0">
            <wp:extent cx="5481320" cy="14878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6"/>
                    <a:stretch>
                      <a:fillRect/>
                    </a:stretch>
                  </pic:blipFill>
                  <pic:spPr bwMode="auto">
                    <a:xfrm>
                      <a:off x="0" y="0"/>
                      <a:ext cx="5481320" cy="1487805"/>
                    </a:xfrm>
                    <a:prstGeom prst="rect">
                      <a:avLst/>
                    </a:prstGeom>
                    <a:noFill/>
                  </pic:spPr>
                </pic:pic>
              </a:graphicData>
            </a:graphic>
          </wp:inline>
        </w:drawing>
      </w:r>
    </w:p>
    <w:p>
      <w:pPr>
        <w:pStyle w:val="Normal"/>
        <w:pBdr/>
        <w:shd w:fill="FFFFFF"/>
        <w:bidi w:val="0"/>
        <w:spacing w:lineRule="atLeast" w:line="0"/>
        <w:jc w:val="start"/>
        <w:rPr>
          <w:sz w:val="24"/>
        </w:rPr>
        <w:framePr w:w="8632" w:h="2619" w:x="324" w:y="261" w:hSpace="0" w:vSpace="0" w:wrap="notBeside" w:vAnchor="page" w:hAnchor="text" w:hRule="exact"/>
      </w:pPr>
      <w:r>
        <w:rPr>
          <w:sz w:val="24"/>
        </w:rPr>
      </w:r>
    </w:p>
    <w:p>
      <w:pPr>
        <w:pStyle w:val="Normal"/>
        <w:bidi w:val="0"/>
        <w:spacing w:lineRule="atLeast" w:line="480"/>
        <w:jc w:val="start"/>
        <w:rPr>
          <w:rFonts w:ascii="Times New Roman" w:hAnsi="Times New Roman"/>
          <w:sz w:val="24"/>
        </w:rPr>
      </w:pPr>
      <w:r>
        <w:rPr>
          <w:rFonts w:ascii="Times New Roman" w:hAnsi="Times New Roman"/>
          <w:sz w:val="24"/>
        </w:rPr>
        <w:t>It is further noteworthy from Exhibit 1 that AEP Transmission confirmed    two additional June 10 requests by AEP Marketing Companies for 100 MW of service on June 11, at points in time when the relevant value posted for ATC for June 11 was zero.    The two requests were queued at 6:59a.m. and 7:00a.m., before ATC dropped to zero at 10:45 am.    The OASIS data do not indicate the time at which AEP Transmission accepted the request.    Conceivably, each request could have been accepted before ATC dropped to zero.    That, however does not appear to have been the case.    The Commission's Order No. 638 instructs that, for transmission service under the OATT, ATC is to be reduced at the point in time when a transmission request is accepted.    As shown in Exhibit 2, however, on June 10 before 10:45 am, AEP's posted daily ATC values for June 11 were not decreased by the amount of either of these granted 100 MW requests.    Therefore, assuming that AEP Transmission complied with Order No. 638 and the OATT, it does not appear that AEP Transmission could have accepted these two additional AEP Marketing Companies' requests before the relevant ATC fell to zero.</w:t>
      </w:r>
      <w:r>
        <w:rPr>
          <w:rStyle w:val="FootnoteReference"/>
          <w:rFonts w:ascii="Times New Roman" w:hAnsi="Times New Roman"/>
          <w:sz w:val="24"/>
          <w:vertAlign w:val="superscript"/>
        </w:rPr>
        <w:footnoteReference w:id="3"/>
      </w:r>
    </w:p>
    <w:p>
      <w:pPr>
        <w:pStyle w:val="Normal"/>
        <w:bidi w:val="0"/>
        <w:spacing w:lineRule="atLeast" w:line="480"/>
        <w:ind w:firstLine="1080"/>
        <w:jc w:val="start"/>
        <w:rPr>
          <w:rFonts w:ascii="Times New Roman" w:hAnsi="Times New Roman"/>
          <w:sz w:val="24"/>
        </w:rPr>
      </w:pPr>
      <w:r>
        <w:rPr>
          <w:rFonts w:ascii="Times New Roman" w:hAnsi="Times New Roman"/>
          <w:sz w:val="24"/>
        </w:rPr>
        <w:t>Under seemingly identical circumstance, when posted ATC was either zero or insufficient, AEP Transmission has denied service to other customers on numerous occasions.    Exhibit 3 provides examples of this pattern of apparent exercises of transmission market power.</w:t>
      </w:r>
    </w:p>
    <w:p>
      <w:pPr>
        <w:pStyle w:val="Normal"/>
        <w:bidi w:val="0"/>
        <w:ind w:firstLine="1080"/>
        <w:jc w:val="start"/>
        <w:rPr>
          <w:rFonts w:ascii="Garamond" w:hAnsi="Garamond"/>
          <w:sz w:val="24"/>
          <w:u w:val="single"/>
        </w:rPr>
      </w:pPr>
      <w:r>
        <w:rPr>
          <w:rFonts w:ascii="Garamond" w:hAnsi="Garamond"/>
          <w:sz w:val="24"/>
          <w:u w:val="single"/>
        </w:rPr>
        <w:tab/>
        <w:t xml:space="preserve">Exhibit 3: Examples of Denied Service for Daily Firm Service for June 9-11, 1999 </w:t>
      </w:r>
    </w:p>
    <w:p>
      <w:pPr>
        <w:pStyle w:val="BodyText3"/>
        <w:bidi w:val="0"/>
        <w:ind w:firstLine="1080"/>
        <w:jc w:val="center"/>
        <w:rPr>
          <w:rFonts w:ascii="Times New Roman" w:hAnsi="Times New Roman"/>
        </w:rPr>
      </w:pPr>
      <w:r>
        <w:rPr>
          <w:rFonts w:ascii="Garamond" w:hAnsi="Garamond"/>
          <w:u w:val="single"/>
        </w:rPr>
        <w:t>on Grounds of Insufficient ATC</w:t>
      </w:r>
    </w:p>
    <w:p>
      <w:pPr>
        <w:pStyle w:val="Normal"/>
        <w:bidi w:val="0"/>
        <w:ind w:firstLine="1080"/>
        <w:jc w:val="start"/>
        <w:rPr>
          <w:rFonts w:ascii="Times New Roman" w:hAnsi="Times New Roman"/>
          <w:sz w:val="24"/>
        </w:rPr>
      </w:pPr>
      <w:r>
        <w:rPr>
          <w:rFonts w:ascii="Times New Roman" w:hAnsi="Times New Roman"/>
          <w:sz w:val="24"/>
        </w:rPr>
      </w:r>
    </w:p>
    <w:p>
      <w:pPr>
        <w:pStyle w:val="Normal"/>
        <w:pBdr/>
        <w:bidi w:val="0"/>
        <w:spacing w:lineRule="atLeast" w:line="0"/>
        <w:jc w:val="start"/>
        <w:rPr>
          <w:sz w:val="24"/>
        </w:rPr>
        <w:framePr w:w="9440" w:h="2443" w:xAlign="left" w:hSpace="0" w:vSpace="0" w:wrap="notBeside" w:vAnchor="text" w:hAnchor="text" w:hRule="exact"/>
      </w:pPr>
      <w:r>
        <w:rPr/>
        <w:drawing>
          <wp:inline distT="0" distB="0" distL="0" distR="0">
            <wp:extent cx="5994400" cy="137604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7"/>
                    <a:stretch>
                      <a:fillRect/>
                    </a:stretch>
                  </pic:blipFill>
                  <pic:spPr bwMode="auto">
                    <a:xfrm>
                      <a:off x="0" y="0"/>
                      <a:ext cx="5994400" cy="1376045"/>
                    </a:xfrm>
                    <a:prstGeom prst="rect">
                      <a:avLst/>
                    </a:prstGeom>
                    <a:noFill/>
                  </pic:spPr>
                </pic:pic>
              </a:graphicData>
            </a:graphic>
          </wp:inline>
        </w:drawing>
      </w:r>
    </w:p>
    <w:p>
      <w:pPr>
        <w:pStyle w:val="Normal"/>
        <w:pBdr/>
        <w:shd w:fill="FFFFFF"/>
        <w:bidi w:val="0"/>
        <w:spacing w:lineRule="atLeast" w:line="0"/>
        <w:jc w:val="start"/>
        <w:rPr>
          <w:sz w:val="24"/>
        </w:rPr>
        <w:framePr w:w="9440" w:h="2443" w:xAlign="left" w:hSpace="0" w:vSpace="0" w:wrap="notBeside" w:vAnchor="text" w:hAnchor="text" w:hRule="exact"/>
      </w:pPr>
      <w:r>
        <w:rPr>
          <w:sz w:val="24"/>
        </w:rPr>
      </w:r>
    </w:p>
    <w:p>
      <w:pPr>
        <w:pStyle w:val="Normal"/>
        <w:bidi w:val="0"/>
        <w:spacing w:lineRule="atLeast" w:line="480"/>
        <w:ind w:firstLine="10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1080" w:start="2160"/>
        <w:jc w:val="start"/>
        <w:rPr>
          <w:rFonts w:ascii="Times New Roman" w:hAnsi="Times New Roman"/>
          <w:sz w:val="24"/>
        </w:rPr>
      </w:pPr>
      <w:r>
        <w:rPr>
          <w:rFonts w:ascii="Times New Roman" w:hAnsi="Times New Roman"/>
          <w:sz w:val="24"/>
        </w:rPr>
        <w:tab/>
      </w:r>
      <w:r>
        <w:rPr>
          <w:rFonts w:ascii="Times New Roman" w:hAnsi="Times New Roman"/>
          <w:b/>
          <w:sz w:val="24"/>
        </w:rPr>
        <w:t>B.</w:t>
        <w:tab/>
      </w:r>
      <w:r>
        <w:rPr>
          <w:rFonts w:ascii="Times New Roman" w:hAnsi="Times New Roman"/>
          <w:b/>
          <w:i/>
          <w:sz w:val="26"/>
        </w:rPr>
        <w:t>Exercises of Transmission Market Power to Discriminate in Favor of AEP Marketing Companies Appears to Continue into Summer 2000</w:t>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spacing w:lineRule="atLeast" w:line="480"/>
        <w:ind w:firstLine="1080"/>
        <w:jc w:val="start"/>
        <w:rPr>
          <w:rFonts w:ascii="Times New Roman" w:hAnsi="Times New Roman"/>
          <w:sz w:val="24"/>
        </w:rPr>
      </w:pPr>
      <w:r>
        <w:rPr>
          <w:rFonts w:ascii="Times New Roman" w:hAnsi="Times New Roman"/>
          <w:sz w:val="24"/>
        </w:rPr>
        <w:tab/>
        <w:t>The most recent information that EPMI has analyzed indicates that AEP Transmission's pattern of exercising market power to favor AEP Marketing Companies has continued into summer of 2000.    This has continued to take the form of granting service to AEP Marketing Companies while refusing similar service to their competitors.    AEP Transmission continues to explain that services were denied due to insufficient ATC.    However, audit logs appear to contradict these explanations.</w:t>
      </w:r>
    </w:p>
    <w:p>
      <w:pPr>
        <w:sectPr>
          <w:headerReference w:type="even" r:id="rId8"/>
          <w:headerReference w:type="default" r:id="rId9"/>
          <w:headerReference w:type="first" r:id="rId10"/>
          <w:footnotePr>
            <w:numFmt w:val="decimal"/>
            <w:numRestart w:val="eachSect"/>
          </w:footnotePr>
          <w:type w:val="nextPage"/>
          <w:pgSz w:w="12240" w:h="15840"/>
          <w:pgMar w:left="1440" w:right="1440" w:gutter="0" w:header="1440" w:top="1497" w:footer="0" w:bottom="630"/>
          <w:pgNumType w:fmt="decimal"/>
          <w:formProt w:val="false"/>
          <w:titlePg/>
          <w:textDirection w:val="lrTb"/>
          <w:docGrid w:type="default" w:linePitch="100" w:charSpace="0"/>
        </w:sectPr>
      </w:pPr>
    </w:p>
    <w:p>
      <w:pPr>
        <w:pStyle w:val="Normal"/>
        <w:bidi w:val="0"/>
        <w:spacing w:lineRule="atLeast" w:line="480"/>
        <w:ind w:firstLine="1080"/>
        <w:jc w:val="start"/>
        <w:rPr>
          <w:rFonts w:ascii="Times New Roman" w:hAnsi="Times New Roman"/>
          <w:sz w:val="24"/>
        </w:rPr>
      </w:pPr>
      <w:r>
        <w:rPr>
          <w:rFonts w:ascii="Times New Roman" w:hAnsi="Times New Roman"/>
          <w:sz w:val="24"/>
        </w:rPr>
        <w:tab/>
        <w:t>AEP Transmission refused two requests made by DTE Energy Trading, Inc. ("DTET") for daily firm service on the grounds of insufficient ATC; later, as shown in Exhibit 4, it confirmed a competing request by AEP Marketing Companies.    On July 18, 2000, at 9:45 am, AEP Transmission rejected DTET's request for 50 MW of daily firm service for July 21, 2000, on the AEP-CPLE path.    At the time this request was last updated, the posted ATC was 1635 MW.    On July 20, 2000, DTET tried again, but at 8:52 am was again refused 50 MW of daily firm service for July 21, 2000.    Posted ATC at the time of this refusal was 1378 MW.</w:t>
      </w:r>
    </w:p>
    <w:p>
      <w:pPr>
        <w:pStyle w:val="Normal"/>
        <w:bidi w:val="0"/>
        <w:ind w:firstLine="1080"/>
        <w:jc w:val="start"/>
        <w:rPr>
          <w:rFonts w:ascii="Garamond Antiqua" w:hAnsi="Garamond Antiqua"/>
          <w:sz w:val="24"/>
          <w:u w:val="single"/>
        </w:rPr>
      </w:pPr>
      <w:r>
        <w:rPr>
          <w:rFonts w:ascii="Garamond Antiqua" w:hAnsi="Garamond Antiqua"/>
          <w:sz w:val="24"/>
          <w:u w:val="single"/>
        </w:rPr>
        <w:tab/>
        <w:t>Exhibit 4: Requests for AEP-CPLE Daily Firm Service for July 21, 2000</w:t>
      </w:r>
    </w:p>
    <w:p>
      <w:pPr>
        <w:pStyle w:val="BodyText3"/>
        <w:bidi w:val="0"/>
        <w:ind w:firstLine="1080"/>
        <w:jc w:val="start"/>
        <w:rPr>
          <w:rFonts w:ascii="Garamond Antiqua" w:hAnsi="Garamond Antiqua"/>
        </w:rPr>
      </w:pPr>
      <w:r>
        <w:rPr>
          <w:rFonts w:ascii="Garamond Antiqua" w:hAnsi="Garamond Antiqua"/>
        </w:rPr>
        <w:tab/>
        <w:t xml:space="preserve">*Reason for refusal: "DUE TO NETWORK LOADINGS TO THE SOUTH/S.E. </w:t>
      </w:r>
    </w:p>
    <w:p>
      <w:pPr>
        <w:pStyle w:val="Normal"/>
        <w:bidi w:val="0"/>
        <w:ind w:firstLine="1080"/>
        <w:jc w:val="center"/>
        <w:rPr>
          <w:rFonts w:ascii="Times New Roman" w:hAnsi="Times New Roman"/>
          <w:sz w:val="24"/>
        </w:rPr>
      </w:pPr>
      <w:r>
        <w:rPr>
          <w:rFonts w:ascii="Garamond Antiqua" w:hAnsi="Garamond Antiqua"/>
          <w:sz w:val="24"/>
        </w:rPr>
        <w:t>ATC'S ARE LIMITED"</w:t>
      </w:r>
    </w:p>
    <w:p>
      <w:pPr>
        <w:pStyle w:val="Normal"/>
        <w:pBdr/>
        <w:bidi w:val="0"/>
        <w:spacing w:lineRule="atLeast" w:line="0"/>
        <w:jc w:val="start"/>
        <w:rPr>
          <w:sz w:val="24"/>
        </w:rPr>
        <w:framePr w:w="9360" w:h="1776" w:x="-4" w:y="247" w:hSpace="0" w:vSpace="0" w:wrap="notBeside" w:vAnchor="page" w:hAnchor="text" w:hRule="exact"/>
      </w:pPr>
      <w:r>
        <w:rPr/>
        <w:drawing>
          <wp:inline distT="0" distB="0" distL="0" distR="0">
            <wp:extent cx="5943600" cy="95250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tretch>
                      <a:fillRect/>
                    </a:stretch>
                  </pic:blipFill>
                  <pic:spPr bwMode="auto">
                    <a:xfrm>
                      <a:off x="0" y="0"/>
                      <a:ext cx="5943600" cy="952500"/>
                    </a:xfrm>
                    <a:prstGeom prst="rect">
                      <a:avLst/>
                    </a:prstGeom>
                    <a:noFill/>
                  </pic:spPr>
                </pic:pic>
              </a:graphicData>
            </a:graphic>
          </wp:inline>
        </w:drawing>
      </w:r>
    </w:p>
    <w:p>
      <w:pPr>
        <w:pStyle w:val="Normal"/>
        <w:pBdr/>
        <w:shd w:fill="FFFFFF"/>
        <w:bidi w:val="0"/>
        <w:spacing w:lineRule="atLeast" w:line="0"/>
        <w:jc w:val="start"/>
        <w:rPr>
          <w:sz w:val="24"/>
        </w:rPr>
        <w:framePr w:w="9360" w:h="1776" w:x="-4" w:y="247" w:hSpace="0" w:vSpace="0" w:wrap="notBeside" w:vAnchor="page" w:hAnchor="text" w:hRule="exact"/>
      </w:pPr>
      <w:r>
        <w:rPr>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t>AEP Transmission explained the reason for both refusals as being insufficient ATC.    Then, on July 20, 2000, at 11:16 am, less than three hours after rejecting DTET's request, AEP Transmission confirmed a request by AEP Marketing Companies for 150 MW of daily firm service for July 21, 2000, on the same path that DTET requested and AEP Transmission denied.    Posted ATC at the time was 1114 MW.</w:t>
      </w:r>
    </w:p>
    <w:p>
      <w:pPr>
        <w:pStyle w:val="Normal"/>
        <w:bidi w:val="0"/>
        <w:spacing w:lineRule="atLeast" w:line="480"/>
        <w:ind w:firstLine="1080"/>
        <w:jc w:val="both"/>
        <w:rPr>
          <w:rFonts w:ascii="Times New Roman" w:hAnsi="Times New Roman"/>
          <w:sz w:val="24"/>
        </w:rPr>
      </w:pPr>
      <w:r>
        <w:rPr>
          <w:rFonts w:ascii="Times New Roman" w:hAnsi="Times New Roman"/>
          <w:sz w:val="24"/>
        </w:rPr>
        <w:tab/>
        <w:t>Exhibit 5 shows similar discrimination in grants and denials of access to daily firm service on July 19, 2000.    On July 18, 2000, at 10:54 am, DTET was refused 50 MW of daily firm service for July 19, 2000, on the AEP-CPLE path.    Insufficient ATC was the reported reason.    However, at the time of the last update to DTET's request, the audit log showed ATC to be 1379 MW.</w:t>
      </w:r>
    </w:p>
    <w:p>
      <w:pPr>
        <w:pStyle w:val="Normal"/>
        <w:bidi w:val="0"/>
        <w:ind w:firstLine="1080"/>
        <w:jc w:val="start"/>
        <w:rPr>
          <w:rFonts w:ascii="Garamond Antiqua" w:hAnsi="Garamond Antiqua"/>
          <w:sz w:val="24"/>
          <w:u w:val="single"/>
        </w:rPr>
      </w:pPr>
      <w:r>
        <w:rPr>
          <w:rFonts w:ascii="Garamond Antiqua" w:hAnsi="Garamond Antiqua"/>
          <w:sz w:val="24"/>
          <w:u w:val="single"/>
        </w:rPr>
        <w:tab/>
        <w:t>Exhibit 5: Requests for AEP-CPLE Daily Firm Service for July 21, 2000</w:t>
      </w:r>
    </w:p>
    <w:p>
      <w:pPr>
        <w:pStyle w:val="BodyText3"/>
        <w:bidi w:val="0"/>
        <w:ind w:firstLine="1080"/>
        <w:jc w:val="start"/>
        <w:rPr>
          <w:rFonts w:ascii="Garamond Antiqua" w:hAnsi="Garamond Antiqua"/>
        </w:rPr>
      </w:pPr>
      <w:r>
        <w:rPr>
          <w:rFonts w:ascii="Garamond Antiqua" w:hAnsi="Garamond Antiqua"/>
        </w:rPr>
        <w:tab/>
        <w:t>*Reason for refusal:    "DUE TO NETWORK LOADINGS TO THE SOUTH/S.E.</w:t>
      </w:r>
    </w:p>
    <w:p>
      <w:pPr>
        <w:pStyle w:val="Normal"/>
        <w:bidi w:val="0"/>
        <w:ind w:firstLine="1080"/>
        <w:jc w:val="center"/>
        <w:rPr>
          <w:rFonts w:ascii="Times New Roman" w:hAnsi="Times New Roman"/>
          <w:sz w:val="24"/>
        </w:rPr>
      </w:pPr>
      <w:r>
        <w:rPr>
          <w:rFonts w:ascii="Garamond Antiqua" w:hAnsi="Garamond Antiqua"/>
          <w:sz w:val="24"/>
        </w:rPr>
        <w:t>ATC'S ARE LIMITED"</w:t>
      </w:r>
    </w:p>
    <w:p>
      <w:pPr>
        <w:pStyle w:val="BodyText3"/>
        <w:bidi w:val="0"/>
        <w:spacing w:lineRule="atLeast" w:line="480"/>
        <w:ind w:firstLine="1080"/>
        <w:jc w:val="both"/>
        <w:rPr>
          <w:rFonts w:ascii="Times New Roman" w:hAnsi="Times New Roman"/>
          <w:u w:val="single"/>
        </w:rPr>
      </w:pPr>
      <w:r>
        <w:rPr>
          <w:rFonts w:ascii="Times New Roman" w:hAnsi="Times New Roman"/>
          <w:u w:val="single"/>
        </w:rPr>
      </w:r>
    </w:p>
    <w:p>
      <w:pPr>
        <w:pStyle w:val="Normal"/>
        <w:pBdr/>
        <w:shd w:fill="FFFFFF"/>
        <w:bidi w:val="0"/>
        <w:spacing w:lineRule="atLeast" w:line="0"/>
        <w:jc w:val="start"/>
        <w:rPr>
          <w:sz w:val="24"/>
        </w:rPr>
        <w:framePr w:w="10978" w:h="1202" w:x="-210" w:y="292" w:hSpace="0" w:vSpace="0" w:wrap="notBeside" w:vAnchor="page" w:hAnchor="text" w:hRule="exact"/>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48.9pt;height:46.3pt;mso-wrap-distance-right:0pt" filled="f" o:ole="">
            <v:imagedata r:id="rId13" o:title=""/>
          </v:shape>
          <o:OLEObject Type="Embed" ProgID="" ShapeID="ole_rId12" DrawAspect="Content" ObjectID="_747040217" r:id="rId12"/>
        </w:object>
      </w:r>
    </w:p>
    <w:p>
      <w:pPr>
        <w:pStyle w:val="Normal"/>
        <w:pBdr/>
        <w:shd w:fill="FFFFFF"/>
        <w:bidi w:val="0"/>
        <w:spacing w:lineRule="atLeast" w:line="0"/>
        <w:jc w:val="start"/>
        <w:rPr>
          <w:sz w:val="24"/>
        </w:rPr>
        <w:framePr w:w="10978" w:h="1202" w:x="-210" w:y="292" w:hSpace="0" w:vSpace="0" w:wrap="notBeside" w:vAnchor="page" w:hAnchor="text" w:hRule="exact"/>
      </w:pPr>
      <w:r>
        <w:rPr>
          <w:sz w:val="24"/>
        </w:rPr>
      </w:r>
    </w:p>
    <w:p>
      <w:pPr>
        <w:pStyle w:val="BodyText3"/>
        <w:bidi w:val="0"/>
        <w:spacing w:lineRule="atLeast" w:line="480"/>
        <w:ind w:firstLine="1080"/>
        <w:jc w:val="both"/>
        <w:rPr>
          <w:rFonts w:ascii="Times New Roman" w:hAnsi="Times New Roman"/>
        </w:rPr>
      </w:pPr>
      <w:r>
        <w:rPr>
          <w:rFonts w:ascii="Times New Roman" w:hAnsi="Times New Roman"/>
        </w:rPr>
        <w:t>Then, on July 18, 2000, at 11:28 am, less than an hour after refusing DTET's request, AEP Transmission confirmed AEP Marketing Companies' request for 200 MW of daily firm service for July 19, 2000, on the same path that DTET requested and AEP Transmission denied.    The ATC at the time this request was confirmed was 1379 MW.</w:t>
      </w:r>
    </w:p>
    <w:p>
      <w:pPr>
        <w:pStyle w:val="Normal"/>
        <w:tabs>
          <w:tab w:val="left" w:pos="720" w:leader="none"/>
          <w:tab w:val="left" w:pos="1440" w:leader="none"/>
          <w:tab w:val="left" w:pos="2160" w:leader="none"/>
        </w:tabs>
        <w:bidi w:val="0"/>
        <w:ind w:hanging="1080" w:start="2160"/>
        <w:jc w:val="start"/>
        <w:rPr>
          <w:rFonts w:ascii="Times New Roman" w:hAnsi="Times New Roman"/>
          <w:b/>
          <w:i/>
          <w:i/>
          <w:sz w:val="26"/>
        </w:rPr>
      </w:pPr>
      <w:r>
        <w:rPr>
          <w:rFonts w:ascii="Times New Roman" w:hAnsi="Times New Roman"/>
          <w:b/>
          <w:i/>
          <w:sz w:val="24"/>
        </w:rPr>
        <w:tab/>
        <w:t>C.</w:t>
        <w:tab/>
      </w:r>
      <w:r>
        <w:rPr>
          <w:rFonts w:ascii="Times New Roman" w:hAnsi="Times New Roman"/>
          <w:b/>
          <w:i/>
          <w:sz w:val="26"/>
        </w:rPr>
        <w:t>During Summer 2000 AEP's OASIS Continues to Show Erratic and Inexplicable Postings that Appear to Have Favored AEP Marketing Companies</w:t>
      </w:r>
    </w:p>
    <w:p>
      <w:pPr>
        <w:pStyle w:val="Normal"/>
        <w:bidi w:val="0"/>
        <w:ind w:firstLine="1080"/>
        <w:jc w:val="start"/>
        <w:rPr>
          <w:rFonts w:ascii="Times New Roman" w:hAnsi="Times New Roman"/>
          <w:b/>
          <w:i/>
          <w:i/>
          <w:sz w:val="26"/>
        </w:rPr>
      </w:pPr>
      <w:r>
        <w:rPr>
          <w:rFonts w:ascii="Times New Roman" w:hAnsi="Times New Roman"/>
          <w:b/>
          <w:i/>
          <w:sz w:val="26"/>
        </w:rPr>
      </w:r>
    </w:p>
    <w:p>
      <w:pPr>
        <w:pStyle w:val="Normal"/>
        <w:bidi w:val="0"/>
        <w:spacing w:lineRule="atLeast" w:line="480"/>
        <w:ind w:firstLine="1080"/>
        <w:jc w:val="start"/>
        <w:rPr>
          <w:rFonts w:ascii="Times New Roman" w:hAnsi="Times New Roman"/>
          <w:sz w:val="24"/>
        </w:rPr>
      </w:pPr>
      <w:r>
        <w:rPr>
          <w:rFonts w:ascii="Times New Roman" w:hAnsi="Times New Roman"/>
          <w:sz w:val="24"/>
        </w:rPr>
        <w:tab/>
        <w:t xml:space="preserve">AEP Transmission refused monthly firm service to Southern Company Energy Marketing L.P. ("SCEM"), but then confirmed identical service to AEP Marketing Companies.    Exhibit 6 shows that, on May 22, 2000, at 1:21 pm, SCEM requested 100 MW of monthly firm service for June 2000 on the AEP-FE path.    </w:t>
      </w:r>
    </w:p>
    <w:p>
      <w:pPr>
        <w:pStyle w:val="Normal"/>
        <w:bidi w:val="0"/>
        <w:spacing w:lineRule="atLeast" w:line="480"/>
        <w:ind w:firstLine="1080"/>
        <w:jc w:val="start"/>
        <w:rPr>
          <w:rFonts w:ascii="Times New Roman" w:hAnsi="Times New Roman"/>
          <w:sz w:val="24"/>
        </w:rPr>
      </w:pPr>
      <w:r>
        <w:rPr>
          <w:rFonts w:ascii="Garamond Antiqua" w:hAnsi="Garamond Antiqua"/>
          <w:sz w:val="24"/>
          <w:u w:val="single"/>
        </w:rPr>
        <w:tab/>
        <w:t>Exhibit 6: Requests for AEP-FE Monthly Firm Service for June 2000</w:t>
      </w:r>
    </w:p>
    <w:p>
      <w:pPr>
        <w:pStyle w:val="Normal"/>
        <w:pBdr/>
        <w:shd w:fill="FFFFFF"/>
        <w:bidi w:val="0"/>
        <w:spacing w:lineRule="atLeast" w:line="0"/>
        <w:jc w:val="start"/>
        <w:rPr>
          <w:sz w:val="24"/>
        </w:rPr>
        <w:framePr w:w="9438" w:h="3037" w:xAlign="left" w:y="176" w:hSpace="0" w:vSpace="0" w:wrap="notBeside" w:vAnchor="page" w:hAnchor="margin" w:hRule="exact"/>
      </w:pPr>
      <w:r>
        <w:rPr/>
        <w:object>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71.9pt;height:138.05pt;mso-wrap-distance-right:0pt" filled="f" o:ole="">
            <v:imagedata r:id="rId15" o:title=""/>
          </v:shape>
          <o:OLEObject Type="Embed" ProgID="" ShapeID="ole_rId14" DrawAspect="Content" ObjectID="_1691227183" r:id="rId14"/>
        </w:object>
      </w:r>
    </w:p>
    <w:p>
      <w:pPr>
        <w:pStyle w:val="Normal"/>
        <w:pBdr/>
        <w:shd w:fill="FFFFFF"/>
        <w:bidi w:val="0"/>
        <w:spacing w:lineRule="atLeast" w:line="0"/>
        <w:jc w:val="start"/>
        <w:rPr>
          <w:sz w:val="24"/>
        </w:rPr>
        <w:framePr w:w="9438" w:h="3037" w:xAlign="left" w:y="176" w:hSpace="0" w:vSpace="0" w:wrap="notBeside" w:vAnchor="page" w:hAnchor="margin" w:hRule="exact"/>
      </w:pPr>
      <w:r>
        <w:rPr>
          <w:sz w:val="24"/>
        </w:rPr>
      </w:r>
    </w:p>
    <w:p>
      <w:pPr>
        <w:sectPr>
          <w:footnotePr>
            <w:numFmt w:val="decimal"/>
            <w:numRestart w:val="eachSect"/>
          </w:footnotePr>
          <w:type w:val="continuous"/>
          <w:pgSz w:w="12240" w:h="15840"/>
          <w:pgMar w:left="1440" w:right="1440" w:gutter="0" w:header="1440" w:top="1497" w:footer="0" w:bottom="630"/>
          <w:formProt w:val="false"/>
          <w:titlePg/>
          <w:textDirection w:val="lrTb"/>
          <w:docGrid w:type="default" w:linePitch="100" w:charSpace="0"/>
        </w:sectPr>
        <w:pStyle w:val="Normal"/>
        <w:bidi w:val="0"/>
        <w:spacing w:lineRule="atLeast" w:line="480"/>
        <w:ind w:firstLine="1080"/>
        <w:jc w:val="both"/>
        <w:rPr>
          <w:rFonts w:ascii="Times New Roman" w:hAnsi="Times New Roman"/>
          <w:sz w:val="24"/>
        </w:rPr>
      </w:pPr>
      <w:r>
        <w:rPr>
          <w:rFonts w:ascii="Times New Roman" w:hAnsi="Times New Roman"/>
          <w:sz w:val="24"/>
        </w:rPr>
      </w:r>
      <w:r>
        <w:br w:type="page"/>
      </w:r>
    </w:p>
    <w:p>
      <w:pPr>
        <w:pStyle w:val="Normal"/>
        <w:bidi w:val="0"/>
        <w:jc w:val="start"/>
        <w:rPr/>
      </w:pPr>
      <w:r>
        <w:rPr/>
        <w:drawing>
          <wp:inline distT="0" distB="0" distL="0" distR="0">
            <wp:extent cx="5739765" cy="321246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6"/>
                    <a:stretch>
                      <a:fillRect/>
                    </a:stretch>
                  </pic:blipFill>
                  <pic:spPr bwMode="auto">
                    <a:xfrm>
                      <a:off x="0" y="0"/>
                      <a:ext cx="5739765" cy="3212465"/>
                    </a:xfrm>
                    <a:prstGeom prst="rect">
                      <a:avLst/>
                    </a:prstGeom>
                    <a:noFill/>
                  </pic:spPr>
                </pic:pic>
              </a:graphicData>
            </a:graphic>
          </wp:inline>
        </w:drawing>
      </w:r>
    </w:p>
    <w:p>
      <w:pPr>
        <w:pStyle w:val="Normal"/>
        <w:pBdr/>
        <w:bidi w:val="0"/>
        <w:spacing w:lineRule="atLeast" w:line="0"/>
        <w:jc w:val="start"/>
        <w:rPr>
          <w:sz w:val="24"/>
        </w:rPr>
        <w:framePr w:w="9039" w:h="5059" w:x="84" w:y="3650" w:hSpace="0" w:vSpace="0" w:wrap="notBeside" w:vAnchor="page" w:hAnchor="text" w:hRule="exact"/>
      </w:pPr>
      <w:r>
        <w:rPr>
          <w:sz w:val="24"/>
        </w:rPr>
      </w:r>
    </w:p>
    <w:p>
      <w:pPr>
        <w:pStyle w:val="Normal"/>
        <w:pBdr/>
        <w:shd w:fill="FFFFFF"/>
        <w:bidi w:val="0"/>
        <w:spacing w:lineRule="atLeast" w:line="0"/>
        <w:jc w:val="start"/>
        <w:rPr>
          <w:sz w:val="24"/>
        </w:rPr>
        <w:framePr w:w="9039" w:h="5059" w:x="84" w:y="3650" w:hSpace="0" w:vSpace="0" w:wrap="notBeside" w:vAnchor="page" w:hAnchor="text" w:hRule="exact"/>
      </w:pPr>
      <w:r>
        <w:rPr>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t>At the time the request was made, posted ATC, as shown in Exhibit 7, was 191 MW.</w:t>
      </w:r>
    </w:p>
    <w:p>
      <w:pPr>
        <w:pStyle w:val="Normal"/>
        <w:bidi w:val="0"/>
        <w:spacing w:lineRule="atLeast" w:line="480"/>
        <w:ind w:firstLine="1080"/>
        <w:jc w:val="both"/>
        <w:rPr>
          <w:rFonts w:ascii="Times New Roman" w:hAnsi="Times New Roman"/>
          <w:sz w:val="24"/>
        </w:rPr>
      </w:pPr>
      <w:r>
        <w:rPr>
          <w:rFonts w:ascii="Times New Roman" w:hAnsi="Times New Roman"/>
          <w:sz w:val="24"/>
          <w:u w:val="single"/>
        </w:rPr>
        <w:t>Exhibit 7:    Audit Log Data for AEP-FE Monthly Firm ATC for June 2000</w:t>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sectPr>
          <w:headerReference w:type="even" r:id="rId17"/>
          <w:headerReference w:type="default" r:id="rId18"/>
          <w:headerReference w:type="first" r:id="rId19"/>
          <w:footnotePr>
            <w:numFmt w:val="decimal"/>
            <w:numRestart w:val="eachSect"/>
          </w:footnotePr>
          <w:type w:val="nextPage"/>
          <w:pgSz w:w="12240" w:h="15840"/>
          <w:pgMar w:left="1440" w:right="1440" w:gutter="0" w:header="1440" w:top="1497" w:footer="0" w:bottom="630"/>
          <w:pgNumType w:fmt="decimal"/>
          <w:formProt w:val="false"/>
          <w:textDirection w:val="lrTb"/>
          <w:docGrid w:type="default" w:linePitch="312" w:charSpace="2047"/>
        </w:sectPr>
      </w:pPr>
    </w:p>
    <w:p>
      <w:pPr>
        <w:pStyle w:val="Normal"/>
        <w:bidi w:val="0"/>
        <w:spacing w:lineRule="atLeast" w:line="480"/>
        <w:ind w:firstLine="1080"/>
        <w:jc w:val="both"/>
        <w:rPr>
          <w:rFonts w:ascii="Times New Roman" w:hAnsi="Times New Roman"/>
          <w:sz w:val="24"/>
        </w:rPr>
      </w:pPr>
      <w:r>
        <w:rPr>
          <w:rFonts w:ascii="Times New Roman" w:hAnsi="Times New Roman"/>
          <w:sz w:val="24"/>
        </w:rPr>
        <w:t>Nevertheless, AEP Transmission denied SCEM's request on the ground of "Zero ATC".</w:t>
      </w:r>
      <w:r>
        <w:rPr>
          <w:rStyle w:val="FootnoteReference"/>
          <w:rFonts w:ascii="Times New Roman" w:hAnsi="Times New Roman"/>
          <w:sz w:val="24"/>
          <w:vertAlign w:val="superscript"/>
        </w:rPr>
        <w:footnoteReference w:id="4"/>
      </w:r>
      <w:r>
        <w:rPr>
          <w:rFonts w:ascii="Times New Roman" w:hAnsi="Times New Roman"/>
          <w:sz w:val="24"/>
        </w:rPr>
        <w:t>    This is inexplicable.    Indeed, the ATC for the requested service even increased from 191 MW to 1580 MW after the request was made.</w:t>
      </w:r>
    </w:p>
    <w:p>
      <w:pPr>
        <w:pStyle w:val="Normal"/>
        <w:bidi w:val="0"/>
        <w:spacing w:lineRule="atLeast" w:line="480"/>
        <w:ind w:firstLine="1080"/>
        <w:jc w:val="both"/>
        <w:rPr>
          <w:rFonts w:ascii="Times New Roman" w:hAnsi="Times New Roman"/>
          <w:sz w:val="26"/>
        </w:rPr>
      </w:pPr>
      <w:r>
        <w:rPr>
          <w:rFonts w:ascii="Times New Roman" w:hAnsi="Times New Roman"/>
          <w:sz w:val="24"/>
        </w:rPr>
        <w:t>Nine days later at the end of May, on May 31, 2000, AEP Transmission confirmed three requests made by AEP Marketing for the monthly service that it earlier denied to SCEM.    Notably, posted    was 191 MW at the time of AEP Marketing Companies' three requests.    Not surprisingly and certainly conveniently, the three requests added up to exactly 191 MW.</w:t>
      </w:r>
    </w:p>
    <w:p>
      <w:pPr>
        <w:pStyle w:val="Normal"/>
        <w:bidi w:val="0"/>
        <w:spacing w:lineRule="atLeast" w:line="480"/>
        <w:ind w:firstLine="1080"/>
        <w:jc w:val="both"/>
        <w:rPr>
          <w:rFonts w:ascii="Times New Roman" w:hAnsi="Times New Roman"/>
          <w:b/>
          <w:i/>
          <w:i/>
          <w:sz w:val="24"/>
        </w:rPr>
      </w:pPr>
      <w:r>
        <w:rPr>
          <w:rFonts w:ascii="Times New Roman" w:hAnsi="Times New Roman"/>
          <w:b/>
          <w:i/>
          <w:sz w:val="24"/>
        </w:rPr>
      </w:r>
    </w:p>
    <w:p>
      <w:pPr>
        <w:sectPr>
          <w:footnotePr>
            <w:numFmt w:val="decimal"/>
            <w:numRestart w:val="eachSect"/>
          </w:footnotePr>
          <w:type w:val="continuous"/>
          <w:pgSz w:w="12240" w:h="15840"/>
          <w:pgMar w:left="1440" w:right="1440" w:gutter="0" w:header="1440" w:top="1497" w:footer="0" w:bottom="630"/>
          <w:formProt w:val="false"/>
          <w:textDirection w:val="lrTb"/>
          <w:docGrid w:type="default" w:linePitch="312" w:charSpace="2047"/>
        </w:sectPr>
      </w:pPr>
    </w:p>
    <w:p>
      <w:pPr>
        <w:pStyle w:val="Normal"/>
        <w:tabs>
          <w:tab w:val="left" w:pos="720" w:leader="none"/>
          <w:tab w:val="left" w:pos="1440" w:leader="none"/>
          <w:tab w:val="left" w:pos="2160" w:leader="none"/>
        </w:tabs>
        <w:bidi w:val="0"/>
        <w:spacing w:lineRule="atLeast" w:line="480"/>
        <w:ind w:hanging="1080" w:start="2160"/>
        <w:jc w:val="both"/>
        <w:rPr>
          <w:rFonts w:ascii="Times New Roman" w:hAnsi="Times New Roman"/>
          <w:sz w:val="24"/>
        </w:rPr>
      </w:pPr>
      <w:r>
        <w:rPr>
          <w:rFonts w:ascii="Times New Roman" w:hAnsi="Times New Roman"/>
          <w:b/>
          <w:i/>
          <w:sz w:val="24"/>
        </w:rPr>
        <w:tab/>
        <w:t>D.</w:t>
        <w:tab/>
      </w:r>
      <w:r>
        <w:rPr>
          <w:rFonts w:ascii="Times New Roman" w:hAnsi="Times New Roman"/>
          <w:b/>
          <w:i/>
          <w:sz w:val="26"/>
        </w:rPr>
        <w:t>Having SPP Handle Certain Transmission Functions for AEP Transmission Has Not Proven Effective in Preventing Exercises of Transmission Market Power</w:t>
      </w:r>
    </w:p>
    <w:p>
      <w:pPr>
        <w:pStyle w:val="Normal"/>
        <w:bidi w:val="0"/>
        <w:spacing w:lineRule="atLeast" w:line="432"/>
        <w:ind w:firstLine="1080"/>
        <w:jc w:val="both"/>
        <w:rPr>
          <w:rFonts w:ascii="Times New Roman" w:hAnsi="Times New Roman"/>
          <w:b/>
          <w:sz w:val="24"/>
        </w:rPr>
      </w:pPr>
      <w:r>
        <w:rPr>
          <w:rFonts w:ascii="Times New Roman" w:hAnsi="Times New Roman"/>
          <w:sz w:val="24"/>
        </w:rPr>
        <w:t>That AEP Marketing Companies managed to secure</w:t>
      </w:r>
      <w:r>
        <w:rPr>
          <w:rFonts w:ascii="Times New Roman" w:hAnsi="Times New Roman"/>
          <w:b/>
          <w:sz w:val="24"/>
        </w:rPr>
        <w:t xml:space="preserve"> </w:t>
      </w:r>
      <w:r>
        <w:rPr>
          <w:rFonts w:ascii="Times New Roman" w:hAnsi="Times New Roman"/>
          <w:sz w:val="24"/>
        </w:rPr>
        <w:t xml:space="preserve">the identical service and under the identical conditions that a competitor's request was refused service strongly suggests that AEP Transmission discriminated in favor of AEP Marketing Companies.    Perhaps what is most troubling is that misuse of transmission market power appears to continue even after AEP relinquished control over certain transmission operational functions to SPP in order to satisfy conditions that the Commission imposed on the AEP-CSW merger.    Plainly, the substitution of SPP has not been effective in reigning in AEP Transmission's ability to exercise transmission market power.    Accordingly, if the filing is set for evidentiary hearing in lieu of being rejected outright, then EPMI urges the Commission to identify as specific inquiries for such a hearing (i) the effectiveness of SPP in mitigating transmission market power, and (ii) whether reinstatement of the AEP Marketing Companies' market-based rate authority should be conditioned on the Parties and all of their transmission owning affiliates surrendering operational control of their transmission systems to a fully independent regional transmission organization. </w:t>
      </w:r>
    </w:p>
    <w:p>
      <w:pPr>
        <w:pStyle w:val="Normal"/>
        <w:bidi w:val="0"/>
        <w:ind w:firstLine="1080"/>
        <w:jc w:val="center"/>
        <w:rPr>
          <w:rFonts w:ascii="Times New Roman" w:hAnsi="Times New Roman"/>
          <w:b/>
          <w:sz w:val="26"/>
        </w:rPr>
      </w:pPr>
      <w:r>
        <w:rPr>
          <w:rFonts w:ascii="Times New Roman" w:hAnsi="Times New Roman"/>
          <w:b/>
          <w:sz w:val="26"/>
        </w:rPr>
        <w:t>VI.</w:t>
      </w:r>
    </w:p>
    <w:p>
      <w:pPr>
        <w:pStyle w:val="Normal"/>
        <w:bidi w:val="0"/>
        <w:spacing w:lineRule="atLeast" w:line="432"/>
        <w:ind w:firstLine="1080"/>
        <w:jc w:val="center"/>
        <w:rPr>
          <w:rFonts w:ascii="Times New Roman" w:hAnsi="Times New Roman"/>
          <w:sz w:val="24"/>
        </w:rPr>
      </w:pPr>
      <w:r>
        <w:rPr>
          <w:rFonts w:ascii="Times New Roman" w:hAnsi="Times New Roman"/>
          <w:b/>
          <w:sz w:val="26"/>
        </w:rPr>
        <w:t>CONCLUSION</w:t>
      </w:r>
    </w:p>
    <w:p>
      <w:pPr>
        <w:pStyle w:val="Normal"/>
        <w:bidi w:val="0"/>
        <w:spacing w:lineRule="atLeast" w:line="432"/>
        <w:ind w:firstLine="1080"/>
        <w:jc w:val="both"/>
        <w:rPr>
          <w:rFonts w:ascii="Times New Roman" w:hAnsi="Times New Roman"/>
          <w:sz w:val="24"/>
        </w:rPr>
      </w:pPr>
      <w:r>
        <w:rPr>
          <w:rFonts w:ascii="Times New Roman" w:hAnsi="Times New Roman"/>
          <w:b/>
          <w:sz w:val="24"/>
        </w:rPr>
        <w:t>WHEREFORE,</w:t>
      </w:r>
      <w:r>
        <w:rPr>
          <w:rFonts w:ascii="Times New Roman" w:hAnsi="Times New Roman"/>
          <w:sz w:val="24"/>
        </w:rPr>
        <w:t xml:space="preserve"> EPMI moves the Commission to grant it leave to file this protest out of time, reject the filing and revoke AEP Marketing Companies' authority to wholesale power at market-based rates or, alternatively, set the issue of transmission market power for hearing.</w:t>
      </w:r>
    </w:p>
    <w:p>
      <w:pPr>
        <w:pStyle w:val="Normal"/>
        <w:bidi w:val="0"/>
        <w:spacing w:lineRule="atLeast" w:line="432"/>
        <w:ind w:firstLine="1080"/>
        <w:jc w:val="start"/>
        <w:rPr>
          <w:rFonts w:ascii="Times New Roman" w:hAnsi="Times New Roman"/>
          <w:sz w:val="24"/>
        </w:rPr>
      </w:pPr>
      <w:r>
        <w:rPr>
          <w:rFonts w:ascii="Times New Roman" w:hAnsi="Times New Roman"/>
          <w:sz w:val="24"/>
        </w:rPr>
        <w:tab/>
        <w:tab/>
        <w:tab/>
        <w:tab/>
        <w:tab/>
        <w:tab/>
        <w:t>Respectfully submitted,</w:t>
      </w:r>
    </w:p>
    <w:p>
      <w:pPr>
        <w:pStyle w:val="Normal"/>
        <w:bidi w:val="0"/>
        <w:ind w:firstLine="1080"/>
        <w:jc w:val="start"/>
        <w:rPr>
          <w:rFonts w:ascii="Times New Roman" w:hAnsi="Times New Roman"/>
          <w:sz w:val="24"/>
        </w:rPr>
      </w:pPr>
      <w:r>
        <w:rPr>
          <w:rFonts w:ascii="Times New Roman" w:hAnsi="Times New Roman"/>
          <w:sz w:val="24"/>
        </w:rPr>
        <w:tab/>
        <w:tab/>
        <w:tab/>
        <w:tab/>
        <w:tab/>
        <w:tab/>
      </w:r>
    </w:p>
    <w:p>
      <w:pPr>
        <w:pStyle w:val="Normal"/>
        <w:bidi w:val="0"/>
        <w:ind w:firstLine="1080"/>
        <w:jc w:val="start"/>
        <w:rPr>
          <w:rFonts w:ascii="Times New Roman" w:hAnsi="Times New Roman"/>
          <w:sz w:val="24"/>
        </w:rPr>
      </w:pPr>
      <w:r>
        <w:rPr>
          <w:rFonts w:ascii="Times New Roman" w:hAnsi="Times New Roman"/>
          <w:sz w:val="24"/>
        </w:rPr>
        <w:tab/>
        <w:tab/>
        <w:tab/>
        <w:tab/>
        <w:tab/>
        <w:tab/>
        <w:t>________________________________</w:t>
        <w:tab/>
        <w:tab/>
        <w:tab/>
        <w:tab/>
        <w:tab/>
        <w:tab/>
        <w:tab/>
        <w:t>Sarah G. Novosel</w:t>
      </w:r>
    </w:p>
    <w:p>
      <w:pPr>
        <w:pStyle w:val="Normal"/>
        <w:bidi w:val="0"/>
        <w:ind w:firstLine="1080"/>
        <w:jc w:val="start"/>
        <w:rPr>
          <w:rFonts w:ascii="Times New Roman" w:hAnsi="Times New Roman"/>
          <w:sz w:val="24"/>
        </w:rPr>
      </w:pPr>
      <w:r>
        <w:rPr>
          <w:rFonts w:ascii="Times New Roman" w:hAnsi="Times New Roman"/>
          <w:sz w:val="24"/>
        </w:rPr>
        <w:tab/>
        <w:tab/>
        <w:tab/>
        <w:tab/>
        <w:tab/>
        <w:tab/>
        <w:t>Sr. Director, Federal Regulatory Affairs</w:t>
      </w:r>
    </w:p>
    <w:p>
      <w:pPr>
        <w:pStyle w:val="Normal"/>
        <w:bidi w:val="0"/>
        <w:ind w:firstLine="1080"/>
        <w:jc w:val="start"/>
        <w:rPr>
          <w:rFonts w:ascii="Times New Roman" w:hAnsi="Times New Roman"/>
          <w:sz w:val="24"/>
        </w:rPr>
      </w:pPr>
      <w:r>
        <w:rPr>
          <w:rFonts w:ascii="Times New Roman" w:hAnsi="Times New Roman"/>
          <w:sz w:val="24"/>
        </w:rPr>
        <w:tab/>
        <w:tab/>
        <w:tab/>
        <w:tab/>
        <w:tab/>
        <w:tab/>
        <w:t>Enron Corp.</w:t>
      </w:r>
    </w:p>
    <w:p>
      <w:pPr>
        <w:pStyle w:val="Normal"/>
        <w:bidi w:val="0"/>
        <w:ind w:firstLine="1080"/>
        <w:jc w:val="start"/>
        <w:rPr>
          <w:rFonts w:ascii="Times New Roman" w:hAnsi="Times New Roman"/>
          <w:sz w:val="24"/>
        </w:rPr>
      </w:pPr>
      <w:r>
        <w:rPr>
          <w:rFonts w:ascii="Times New Roman" w:hAnsi="Times New Roman"/>
          <w:sz w:val="24"/>
        </w:rPr>
        <w:tab/>
        <w:tab/>
        <w:tab/>
        <w:tab/>
        <w:tab/>
        <w:tab/>
        <w:t>1775 Eye Street, N.W., Suite 800</w:t>
      </w:r>
    </w:p>
    <w:p>
      <w:pPr>
        <w:pStyle w:val="Normal"/>
        <w:bidi w:val="0"/>
        <w:ind w:firstLine="1080"/>
        <w:jc w:val="start"/>
        <w:rPr>
          <w:rFonts w:ascii="Times New Roman" w:hAnsi="Times New Roman"/>
          <w:sz w:val="24"/>
        </w:rPr>
      </w:pPr>
      <w:r>
        <w:rPr>
          <w:rFonts w:ascii="Times New Roman" w:hAnsi="Times New Roman"/>
          <w:sz w:val="24"/>
        </w:rPr>
        <w:tab/>
        <w:tab/>
        <w:tab/>
        <w:tab/>
        <w:tab/>
        <w:tab/>
        <w:t>Washington, D.C.      20006-4607</w:t>
      </w:r>
    </w:p>
    <w:p>
      <w:pPr>
        <w:pStyle w:val="Normal"/>
        <w:bidi w:val="0"/>
        <w:ind w:firstLine="1080"/>
        <w:jc w:val="start"/>
        <w:rPr>
          <w:rFonts w:ascii="Times New Roman" w:hAnsi="Times New Roman"/>
          <w:sz w:val="24"/>
        </w:rPr>
      </w:pPr>
      <w:r>
        <w:rPr>
          <w:rFonts w:ascii="Times New Roman" w:hAnsi="Times New Roman"/>
          <w:sz w:val="24"/>
        </w:rPr>
        <w:t>September 21, 2000</w:t>
      </w:r>
    </w:p>
    <w:p>
      <w:pPr>
        <w:sectPr>
          <w:headerReference w:type="default" r:id="rId20"/>
          <w:footnotePr>
            <w:numFmt w:val="decimal"/>
            <w:numRestart w:val="eachSect"/>
          </w:footnotePr>
          <w:type w:val="nextPage"/>
          <w:pgSz w:w="12240" w:h="15840"/>
          <w:pgMar w:left="1440" w:right="1440" w:gutter="0" w:header="1440" w:top="1497" w:footer="0" w:bottom="540"/>
          <w:pgNumType w:fmt="decimal"/>
          <w:formProt w:val="false"/>
          <w:textDirection w:val="lrTb"/>
          <w:docGrid w:type="default" w:linePitch="100" w:charSpace="0"/>
        </w:sectPr>
      </w:pPr>
    </w:p>
    <w:p>
      <w:pPr>
        <w:pStyle w:val="Normal"/>
        <w:bidi w:val="0"/>
        <w:jc w:val="start"/>
        <w:rPr>
          <w:sz w:val="24"/>
        </w:rPr>
      </w:pPr>
      <w:r>
        <w:rPr>
          <w:sz w:val="24"/>
        </w:rPr>
      </w:r>
    </w:p>
    <w:p>
      <w:pPr>
        <w:pStyle w:val="Normal"/>
        <w:bidi w:val="0"/>
        <w:jc w:val="center"/>
        <w:rPr>
          <w:rFonts w:ascii="Times New Roman" w:hAnsi="Times New Roman"/>
          <w:b/>
          <w:sz w:val="28"/>
        </w:rPr>
      </w:pPr>
      <w:r>
        <w:rPr>
          <w:rFonts w:ascii="Times New Roman" w:hAnsi="Times New Roman"/>
          <w:b/>
          <w:sz w:val="28"/>
        </w:rPr>
        <w:t>UNITED STATES OF AMERICA</w:t>
      </w:r>
    </w:p>
    <w:p>
      <w:pPr>
        <w:pStyle w:val="Normal"/>
        <w:bidi w:val="0"/>
        <w:jc w:val="center"/>
        <w:rPr>
          <w:rFonts w:ascii="Times New Roman" w:hAnsi="Times New Roman"/>
          <w:b/>
          <w:sz w:val="28"/>
        </w:rPr>
      </w:pPr>
      <w:r>
        <w:rPr>
          <w:rFonts w:ascii="Times New Roman" w:hAnsi="Times New Roman"/>
          <w:b/>
          <w:sz w:val="28"/>
        </w:rPr>
        <w:t>BEFORE THE</w:t>
      </w:r>
    </w:p>
    <w:p>
      <w:pPr>
        <w:pStyle w:val="Normal"/>
        <w:bidi w:val="0"/>
        <w:jc w:val="center"/>
        <w:rPr>
          <w:rFonts w:ascii="Times New Roman" w:hAnsi="Times New Roman"/>
          <w:sz w:val="24"/>
        </w:rPr>
      </w:pPr>
      <w:r>
        <w:rPr>
          <w:rFonts w:ascii="Times New Roman" w:hAnsi="Times New Roman"/>
          <w:b/>
          <w:sz w:val="28"/>
        </w:rPr>
        <w:t>FEDERAL ENERGY REGULATORY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jc w:val="start"/>
        <w:rPr>
          <w:rFonts w:ascii="Times New Roman" w:hAnsi="Times New Roman"/>
          <w:sz w:val="24"/>
        </w:rPr>
      </w:pPr>
      <w:r>
        <w:rPr>
          <w:rFonts w:ascii="Times New Roman" w:hAnsi="Times New Roman"/>
          <w:sz w:val="24"/>
        </w:rPr>
        <w:tab/>
        <w:tab/>
        <w:tab/>
        <w:tab/>
        <w:tab/>
        <w:tab/>
        <w:t>)</w:t>
      </w:r>
    </w:p>
    <w:p>
      <w:pPr>
        <w:pStyle w:val="Normal"/>
        <w:bidi w:val="0"/>
        <w:jc w:val="start"/>
        <w:rPr>
          <w:rFonts w:ascii="Times New Roman" w:hAnsi="Times New Roman"/>
          <w:sz w:val="24"/>
        </w:rPr>
      </w:pPr>
      <w:r>
        <w:rPr>
          <w:rFonts w:ascii="Times New Roman" w:hAnsi="Times New Roman"/>
          <w:sz w:val="24"/>
        </w:rPr>
        <w:t>AEP Power Marketing, Inc.</w:t>
        <w:tab/>
        <w:tab/>
        <w:tab/>
        <w:t>)</w:t>
        <w:tab/>
        <w:t>Docket No. ER96-2495-015</w:t>
      </w:r>
    </w:p>
    <w:p>
      <w:pPr>
        <w:pStyle w:val="Normal"/>
        <w:bidi w:val="0"/>
        <w:jc w:val="start"/>
        <w:rPr>
          <w:rFonts w:ascii="Times New Roman" w:hAnsi="Times New Roman"/>
          <w:sz w:val="24"/>
        </w:rPr>
      </w:pPr>
      <w:r>
        <w:rPr>
          <w:rFonts w:ascii="Times New Roman" w:hAnsi="Times New Roman"/>
          <w:sz w:val="24"/>
        </w:rPr>
        <w:t>AEP Service Corporation</w:t>
        <w:tab/>
        <w:tab/>
        <w:tab/>
        <w:t>)</w:t>
        <w:tab/>
        <w:t>Docket No. ER97-4143-003</w:t>
      </w:r>
    </w:p>
    <w:p>
      <w:pPr>
        <w:pStyle w:val="Normal"/>
        <w:bidi w:val="0"/>
        <w:jc w:val="start"/>
        <w:rPr>
          <w:rFonts w:ascii="Times New Roman" w:hAnsi="Times New Roman"/>
          <w:sz w:val="24"/>
        </w:rPr>
      </w:pPr>
      <w:r>
        <w:rPr>
          <w:rFonts w:ascii="Times New Roman" w:hAnsi="Times New Roman"/>
          <w:sz w:val="24"/>
        </w:rPr>
        <w:t>CSW Power Marketing, Inc.</w:t>
        <w:tab/>
        <w:tab/>
        <w:tab/>
        <w:t>)</w:t>
        <w:tab/>
        <w:t>Docket No. ER97-1238-010</w:t>
      </w:r>
    </w:p>
    <w:p>
      <w:pPr>
        <w:pStyle w:val="Normal"/>
        <w:bidi w:val="0"/>
        <w:jc w:val="start"/>
        <w:rPr>
          <w:rFonts w:ascii="Times New Roman" w:hAnsi="Times New Roman"/>
          <w:sz w:val="24"/>
        </w:rPr>
      </w:pPr>
      <w:r>
        <w:rPr>
          <w:rFonts w:ascii="Times New Roman" w:hAnsi="Times New Roman"/>
          <w:sz w:val="24"/>
        </w:rPr>
        <w:t>CSW Energy Services, Inc.</w:t>
        <w:tab/>
        <w:tab/>
        <w:tab/>
        <w:t>)</w:t>
        <w:tab/>
        <w:t>Docket No. ER98-2075-009</w:t>
      </w:r>
    </w:p>
    <w:p>
      <w:pPr>
        <w:pStyle w:val="Normal"/>
        <w:bidi w:val="0"/>
        <w:jc w:val="start"/>
        <w:rPr>
          <w:rFonts w:ascii="Times New Roman" w:hAnsi="Times New Roman"/>
          <w:sz w:val="24"/>
        </w:rPr>
      </w:pPr>
      <w:r>
        <w:rPr>
          <w:rFonts w:ascii="Times New Roman" w:hAnsi="Times New Roman"/>
          <w:sz w:val="24"/>
        </w:rPr>
        <w:t>Central and South West Services, Inc.</w:t>
        <w:tab/>
        <w:t>)</w:t>
        <w:tab/>
        <w:t xml:space="preserve">Docket No. ER98-542-005 </w:t>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ind w:firstLine="1080"/>
        <w:jc w:val="start"/>
        <w:rPr>
          <w:rFonts w:ascii="Times New Roman" w:hAnsi="Times New Roman"/>
          <w:b/>
          <w:sz w:val="24"/>
        </w:rPr>
      </w:pPr>
      <w:r>
        <w:rPr>
          <w:rFonts w:ascii="Times New Roman" w:hAnsi="Times New Roman"/>
          <w:b/>
          <w:sz w:val="24"/>
        </w:rPr>
      </w:r>
    </w:p>
    <w:p>
      <w:pPr>
        <w:pStyle w:val="Normal"/>
        <w:bidi w:val="0"/>
        <w:ind w:firstLine="1080"/>
        <w:jc w:val="center"/>
        <w:rPr>
          <w:rFonts w:ascii="Times New Roman" w:hAnsi="Times New Roman"/>
          <w:sz w:val="24"/>
        </w:rPr>
      </w:pPr>
      <w:r>
        <w:rPr>
          <w:rFonts w:ascii="Times New Roman" w:hAnsi="Times New Roman"/>
          <w:b/>
          <w:sz w:val="24"/>
        </w:rPr>
        <w:t>CERTIFICATE OF SERVICE</w:t>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t>Dated at Washington, D.C., this 21st day of September 2000.</w:t>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tab/>
        <w:tab/>
        <w:tab/>
        <w:tab/>
        <w:tab/>
        <w:tab/>
        <w:t>____________________________________</w:t>
      </w:r>
    </w:p>
    <w:p>
      <w:pPr>
        <w:pStyle w:val="Normal"/>
        <w:bidi w:val="0"/>
        <w:ind w:firstLine="1080"/>
        <w:jc w:val="start"/>
        <w:rPr>
          <w:rFonts w:ascii="Times New Roman" w:hAnsi="Times New Roman"/>
          <w:sz w:val="24"/>
        </w:rPr>
      </w:pPr>
      <w:r>
        <w:rPr>
          <w:rFonts w:ascii="Times New Roman" w:hAnsi="Times New Roman"/>
          <w:sz w:val="24"/>
        </w:rPr>
        <w:tab/>
        <w:tab/>
        <w:tab/>
        <w:tab/>
        <w:tab/>
        <w:tab/>
        <w:tab/>
        <w:t>Sarah G. Novosel</w:t>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rPr>
      </w:pPr>
      <w:r>
        <w:rPr>
          <w:rFonts w:ascii="Times New Roman" w:hAnsi="Times New Roman"/>
        </w:rPr>
      </w:r>
    </w:p>
    <w:p>
      <w:pPr>
        <w:pStyle w:val="Normal"/>
        <w:bidi w:val="0"/>
        <w:ind w:firstLine="1080"/>
        <w:jc w:val="start"/>
        <w:rPr>
          <w:sz w:val="24"/>
        </w:rPr>
      </w:pPr>
      <w:r>
        <w:rPr>
          <w:rFonts w:ascii="Times New Roman" w:hAnsi="Times New Roman"/>
        </w:rPr>
        <w:t>131492</w:t>
      </w:r>
    </w:p>
    <w:sectPr>
      <w:footnotePr>
        <w:numFmt w:val="decimal"/>
        <w:numRestart w:val="eachSect"/>
      </w:footnotePr>
      <w:type w:val="continuous"/>
      <w:pgSz w:w="12240" w:h="15840"/>
      <w:pgMar w:left="1440" w:right="1440" w:gutter="0" w:header="1440" w:top="1497" w:footer="0" w:bottom="5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Garamond">
    <w:charset w:val="01" w:characterSet="utf-8"/>
    <w:family w:val="roman"/>
    <w:pitch w:val="variable"/>
  </w:font>
  <w:font w:name="Garamond Antiqua">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AEP Power Marketing, Inc., Docket No. ER96-2495; AEP Service Corporation, Docket No. ER97-4143; CSW Power Marketing, Inc., Docket No. ER97-1238; CSW Energy Services, Inc., Docket No. ER98-2075; Central and South West Services, Inc., Docket No. ER98-542.</w:t>
      </w:r>
    </w:p>
  </w:footnote>
  <w:footnote w:id="3">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It is curious that at 14:06 AEP's OASIS shows that daily firm went from 0 to 933 MW.  EPMI questions how AEP can increase its daily ATC within the day.  Typically, an increase in ATC during the day would be posted as hourly rather than daily firm transmission.</w:t>
      </w:r>
    </w:p>
  </w:footnote>
  <w:footnote w:id="4">
    <w:p>
      <w:pPr>
        <w:pStyle w:val="Normal"/>
        <w:bidi w:val="0"/>
        <w:jc w:val="both"/>
        <w:rPr>
          <w:rFonts w:ascii="Times New Roman" w:hAnsi="Times New Roman"/>
          <w:sz w:val="22"/>
        </w:rPr>
      </w:pPr>
      <w:r>
        <w:rPr>
          <w:rStyle w:val="FootnoteCharacters"/>
        </w:rPr>
        <w:footnoteRef/>
      </w:r>
      <w:r>
        <w:rPr>
          <w:rFonts w:ascii="Times New Roman" w:hAnsi="Times New Roman"/>
          <w:sz w:val="24"/>
        </w:rPr>
        <w:t xml:space="preserve">  </w:t>
      </w:r>
      <w:r>
        <w:rPr>
          <w:rFonts w:ascii="Times New Roman" w:hAnsi="Times New Roman"/>
          <w:sz w:val="22"/>
        </w:rPr>
        <w:t xml:space="preserve">The reported "Time of Last Update" for this request appears erroneous since it is after the service was completed, so it is impossible to know exactly when the request was refused. According to the ATC audit log, this refusal could only have been justified  if it occurred between May 24 and May 26, and only if there were sufficient reason to explain the drop in ATC to zero despite the consistently high total transmission capacity ("TTC") shown in Exhibit 8 throughout this period:  </w:t>
      </w:r>
    </w:p>
    <w:p>
      <w:pPr>
        <w:pStyle w:val="Normal"/>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Garamond" w:hAnsi="Garamond"/>
          <w:sz w:val="24"/>
          <w:u w:val="single"/>
        </w:rPr>
        <w:tab/>
        <w:t>Exhibit 8: Audit Log Data for AEP-FE Monthly TTC for June 2000</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sz w:val="24"/>
        </w:rPr>
      </w:pPr>
      <w:r>
        <w:rPr/>
        <w:drawing>
          <wp:inline distT="0" distB="0" distL="0" distR="0">
            <wp:extent cx="5480685" cy="301498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
                    <a:stretch>
                      <a:fillRect/>
                    </a:stretch>
                  </pic:blipFill>
                  <pic:spPr bwMode="auto">
                    <a:xfrm>
                      <a:off x="0" y="0"/>
                      <a:ext cx="5480685" cy="3014980"/>
                    </a:xfrm>
                    <a:prstGeom prst="rect">
                      <a:avLst/>
                    </a:prstGeom>
                    <a:noFill/>
                  </pic:spPr>
                </pic:pic>
              </a:graphicData>
            </a:graphic>
          </wp:inline>
        </w:drawing>
      </w:r>
    </w:p>
    <w:p>
      <w:pPr>
        <w:pStyle w:val="Normal"/>
        <w:shd w:fill="FFFFFF"/>
        <w:bidi w:val="0"/>
        <w:spacing w:lineRule="atLeast" w:line="0"/>
        <w:jc w:val="start"/>
        <w:rPr>
          <w:sz w:val="24"/>
        </w:rPr>
      </w:pPr>
      <w:r>
        <w:rPr>
          <w:sz w:val="24"/>
        </w:rPr>
      </w:r>
    </w:p>
    <w:p>
      <w:pPr>
        <w:pStyle w:val="FootnoteText"/>
        <w:bidi w:val="0"/>
        <w:jc w:val="star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Enron Motion to Protest</w:t>
    </w:r>
  </w:p>
  <w:p>
    <w:pPr>
      <w:pStyle w:val="Normal"/>
      <w:bidi w:val="0"/>
      <w:spacing w:lineRule="atLeast" w:line="0"/>
      <w:jc w:val="both"/>
      <w:rPr>
        <w:rFonts w:ascii="Times New Roman" w:hAnsi="Times New Roman"/>
        <w:sz w:val="24"/>
      </w:rPr>
    </w:pPr>
    <w:r>
      <w:rPr>
        <w:rFonts w:ascii="Times New Roman" w:hAnsi="Times New Roman"/>
        <w:sz w:val="24"/>
      </w:rPr>
      <w:t xml:space="preserve">Docket No. ER96-2495-015, </w:t>
    </w:r>
    <w:r>
      <w:rPr>
        <w:rFonts w:ascii="Times New Roman" w:hAnsi="Times New Roman"/>
        <w:i/>
        <w:sz w:val="24"/>
      </w:rPr>
      <w:t>et al.</w:t>
    </w:r>
    <w:r>
      <w:rPr>
        <w:rFonts w:ascii="Times New Roman" w:hAnsi="Times New Roman"/>
        <w:sz w:val="24"/>
      </w:rPr>
      <w:tab/>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Enron Motion to Protest</w:t>
    </w:r>
  </w:p>
  <w:p>
    <w:pPr>
      <w:pStyle w:val="Normal"/>
      <w:bidi w:val="0"/>
      <w:spacing w:lineRule="atLeast" w:line="0"/>
      <w:jc w:val="both"/>
      <w:rPr>
        <w:rFonts w:ascii="Times New Roman" w:hAnsi="Times New Roman"/>
        <w:sz w:val="24"/>
      </w:rPr>
    </w:pPr>
    <w:r>
      <w:rPr>
        <w:rFonts w:ascii="Times New Roman" w:hAnsi="Times New Roman"/>
        <w:sz w:val="24"/>
      </w:rPr>
      <w:t xml:space="preserve">Docket No. ER96-2495-015, </w:t>
    </w:r>
    <w:r>
      <w:rPr>
        <w:rFonts w:ascii="Times New Roman" w:hAnsi="Times New Roman"/>
        <w:i/>
        <w:sz w:val="24"/>
      </w:rPr>
      <w:t>et al.</w:t>
    </w:r>
    <w:r>
      <w:rPr>
        <w:rFonts w:ascii="Times New Roman" w:hAnsi="Times New Roman"/>
        <w:sz w:val="24"/>
      </w:rPr>
      <w:tab/>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Enron Motion to Protest</w:t>
    </w:r>
  </w:p>
  <w:p>
    <w:pPr>
      <w:pStyle w:val="Normal"/>
      <w:bidi w:val="0"/>
      <w:spacing w:lineRule="atLeast" w:line="0"/>
      <w:jc w:val="both"/>
      <w:rPr>
        <w:rFonts w:ascii="Times New Roman" w:hAnsi="Times New Roman"/>
        <w:sz w:val="24"/>
      </w:rPr>
    </w:pPr>
    <w:r>
      <w:rPr>
        <w:rFonts w:ascii="Times New Roman" w:hAnsi="Times New Roman"/>
        <w:sz w:val="24"/>
      </w:rPr>
      <w:t xml:space="preserve">Docket No. ER96-2495-015, </w:t>
    </w:r>
    <w:r>
      <w:rPr>
        <w:rFonts w:ascii="Times New Roman" w:hAnsi="Times New Roman"/>
        <w:i/>
        <w:sz w:val="24"/>
      </w:rPr>
      <w:t>et al.</w:t>
    </w:r>
    <w:r>
      <w:rPr>
        <w:rFonts w:ascii="Times New Roman" w:hAnsi="Times New Roman"/>
        <w:sz w:val="24"/>
      </w:rPr>
      <w:tab/>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Enron Motion to Protest</w:t>
    </w:r>
  </w:p>
  <w:p>
    <w:pPr>
      <w:pStyle w:val="Normal"/>
      <w:bidi w:val="0"/>
      <w:spacing w:lineRule="atLeast" w:line="0"/>
      <w:jc w:val="both"/>
      <w:rPr>
        <w:rFonts w:ascii="Times New Roman" w:hAnsi="Times New Roman"/>
        <w:sz w:val="24"/>
      </w:rPr>
    </w:pPr>
    <w:r>
      <w:rPr>
        <w:rFonts w:ascii="Times New Roman" w:hAnsi="Times New Roman"/>
        <w:sz w:val="24"/>
      </w:rPr>
      <w:t xml:space="preserve">Docket No. ER96-2495-015, </w:t>
    </w:r>
    <w:r>
      <w:rPr>
        <w:rFonts w:ascii="Times New Roman" w:hAnsi="Times New Roman"/>
        <w:i/>
        <w:sz w:val="24"/>
      </w:rPr>
      <w:t>et al.</w:t>
    </w:r>
    <w:r>
      <w:rPr>
        <w:rFonts w:ascii="Times New Roman" w:hAnsi="Times New Roman"/>
        <w:sz w:val="24"/>
      </w:rPr>
      <w:tab/>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Enron Motion to Protest</w:t>
    </w:r>
  </w:p>
  <w:p>
    <w:pPr>
      <w:pStyle w:val="Normal"/>
      <w:bidi w:val="0"/>
      <w:spacing w:lineRule="atLeast" w:line="0"/>
      <w:jc w:val="both"/>
      <w:rPr>
        <w:rFonts w:ascii="Times New Roman" w:hAnsi="Times New Roman"/>
        <w:sz w:val="24"/>
      </w:rPr>
    </w:pPr>
    <w:r>
      <w:rPr>
        <w:rFonts w:ascii="Times New Roman" w:hAnsi="Times New Roman"/>
        <w:sz w:val="24"/>
      </w:rPr>
      <w:t xml:space="preserve">Docket No. ER96-2495-015, </w:t>
    </w:r>
    <w:r>
      <w:rPr>
        <w:rFonts w:ascii="Times New Roman" w:hAnsi="Times New Roman"/>
        <w:i/>
        <w:sz w:val="24"/>
      </w:rPr>
      <w:t>et al.</w:t>
    </w:r>
    <w:r>
      <w:rPr>
        <w:rFonts w:ascii="Times New Roman" w:hAnsi="Times New Roman"/>
        <w:sz w:val="24"/>
      </w:rPr>
      <w:tab/>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w:hAnsi="Courier" w:eastAsia="WP MathB" w:cs="Garamond"/>
      <w:color w:val="auto"/>
      <w:kern w:val="2"/>
      <w:sz w:val="20"/>
      <w:szCs w:val="24"/>
      <w:lang w:val="en-CA" w:eastAsia="zh-CN" w:bidi="hi-IN"/>
    </w:rPr>
  </w:style>
  <w:style w:type="character" w:styleId="footnoteref">
    <w:name w:val="footnote ref"/>
    <w:qFormat/>
    <w:rPr/>
  </w:style>
  <w:style w:type="character" w:styleId="DefaultPara">
    <w:name w:val="Default Para"/>
    <w:qFormat/>
    <w:rPr/>
  </w:style>
  <w:style w:type="character" w:styleId="footnotetex">
    <w:name w:val="footnote tex"/>
    <w:qFormat/>
    <w:rPr>
      <w:rFonts w:ascii="Times New Roman" w:hAnsi="Times New Roman"/>
      <w:sz w:val="20"/>
    </w:rPr>
  </w:style>
  <w:style w:type="character" w:styleId="ParNum">
    <w:name w:val="ParNum"/>
    <w:qFormat/>
    <w:rPr>
      <w:b/>
    </w:rPr>
  </w:style>
  <w:style w:type="character" w:styleId="Subheading">
    <w:name w:val="Subheading"/>
    <w:qFormat/>
    <w:rPr>
      <w:b/>
    </w:rPr>
  </w:style>
  <w:style w:type="character" w:styleId="RightPar">
    <w:name w:val="Right Par"/>
    <w:qFormat/>
    <w:rPr>
      <w:b/>
    </w:rPr>
  </w:style>
  <w:style w:type="character" w:styleId="Heading">
    <w:name w:val="Heading"/>
    <w:qFormat/>
    <w:rPr>
      <w:b/>
    </w:rPr>
  </w:style>
  <w:style w:type="character" w:styleId="DocInit">
    <w:name w:val="Doc Init"/>
    <w:qFormat/>
    <w:rPr>
      <w:b/>
    </w:rPr>
  </w:style>
  <w:style w:type="character" w:styleId="Bibliogrphy">
    <w:name w:val="Bibliogrphy"/>
    <w:qFormat/>
    <w:rPr>
      <w:b/>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Courier" w:hAnsi="Courier" w:eastAsia="WP MathB" w:cs="Garamond"/>
      <w:color w:val="auto"/>
      <w:kern w:val="2"/>
      <w:sz w:val="24"/>
      <w:szCs w:val="24"/>
      <w:lang w:val="en-CA" w:eastAsia="zh-CN" w:bidi="hi-IN"/>
    </w:rPr>
  </w:style>
  <w:style w:type="paragraph" w:styleId="2AutoList3">
    <w:name w:val="2AutoList3"/>
    <w:qFormat/>
    <w:pPr>
      <w:widowControl w:val="false"/>
      <w:tabs>
        <w:tab w:val="left" w:pos="720" w:leader="none"/>
        <w:tab w:val="left" w:pos="1440" w:leader="none"/>
      </w:tabs>
      <w:bidi w:val="0"/>
      <w:spacing w:lineRule="atLeast" w:line="0"/>
      <w:ind w:hanging="720" w:start="1440"/>
      <w:jc w:val="both"/>
    </w:pPr>
    <w:rPr>
      <w:rFonts w:ascii="Courier" w:hAnsi="Courier" w:eastAsia="WP MathB" w:cs="Garamond"/>
      <w:color w:val="auto"/>
      <w:kern w:val="2"/>
      <w:sz w:val="24"/>
      <w:szCs w:val="24"/>
      <w:lang w:val="en-CA" w:eastAsia="zh-CN" w:bidi="hi-IN"/>
    </w:rPr>
  </w:style>
  <w:style w:type="paragraph" w:styleId="3AutoList3">
    <w:name w:val="3AutoList3"/>
    <w:qFormat/>
    <w:pPr>
      <w:widowControl w:val="false"/>
      <w:tabs>
        <w:tab w:val="left" w:pos="720" w:leader="none"/>
        <w:tab w:val="left" w:pos="1440" w:leader="none"/>
        <w:tab w:val="left" w:pos="2160" w:leader="none"/>
      </w:tabs>
      <w:bidi w:val="0"/>
      <w:spacing w:lineRule="atLeast" w:line="0"/>
      <w:ind w:hanging="720" w:start="2160"/>
      <w:jc w:val="both"/>
    </w:pPr>
    <w:rPr>
      <w:rFonts w:ascii="Courier" w:hAnsi="Courier" w:eastAsia="WP MathB" w:cs="Garamond"/>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Courier" w:hAnsi="Courier" w:eastAsia="WP MathB" w:cs="Garamond"/>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Courier" w:hAnsi="Courier" w:eastAsia="WP MathB" w:cs="Garamond"/>
      <w:color w:val="auto"/>
      <w:kern w:val="2"/>
      <w:sz w:val="24"/>
      <w:szCs w:val="24"/>
      <w:lang w:val="en-CA" w:eastAsia="zh-CN" w:bidi="hi-IN"/>
    </w:rPr>
  </w:style>
  <w:style w:type="paragraph" w:styleId="3AutoList2">
    <w:name w:val="3AutoList2"/>
    <w:qFormat/>
    <w:pPr>
      <w:widowControl w:val="false"/>
      <w:tabs>
        <w:tab w:val="left" w:pos="720" w:leader="none"/>
        <w:tab w:val="left" w:pos="1440" w:leader="none"/>
        <w:tab w:val="left" w:pos="2160" w:leader="none"/>
      </w:tabs>
      <w:bidi w:val="0"/>
      <w:spacing w:lineRule="atLeast" w:line="0"/>
      <w:ind w:hanging="720" w:start="2160"/>
      <w:jc w:val="both"/>
    </w:pPr>
    <w:rPr>
      <w:rFonts w:ascii="Courier" w:hAnsi="Courier" w:eastAsia="WP MathB" w:cs="Garamond"/>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Courier" w:hAnsi="Courier" w:eastAsia="WP MathB" w:cs="Garamond"/>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Courier" w:hAnsi="Courier" w:eastAsia="WP MathB" w:cs="Garamond"/>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Courier" w:hAnsi="Courier" w:eastAsia="WP MathB" w:cs="Garamond"/>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12">
    <w:name w:val="12"/>
    <w:qFormat/>
    <w:pPr>
      <w:widowControl w:val="false"/>
      <w:tabs>
        <w:tab w:val="left" w:pos="720" w:leader="none"/>
      </w:tabs>
      <w:bidi w:val="0"/>
      <w:spacing w:lineRule="atLeast" w:line="0"/>
      <w:ind w:hanging="1440" w:start="720"/>
      <w:jc w:val="both"/>
    </w:pPr>
    <w:rPr>
      <w:rFonts w:ascii="Courier" w:hAnsi="Courier" w:eastAsia="WP MathB" w:cs="Garamond"/>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Courier" w:hAnsi="Courier" w:eastAsia="WP MathB" w:cs="Garamond"/>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Courier" w:hAnsi="Courier" w:eastAsia="WP MathB" w:cs="Garamond"/>
      <w:color w:val="auto"/>
      <w:kern w:val="2"/>
      <w:sz w:val="24"/>
      <w:szCs w:val="24"/>
      <w:lang w:val="en-CA" w:eastAsia="zh-CN" w:bidi="hi-IN"/>
    </w:rPr>
  </w:style>
  <w:style w:type="paragraph" w:styleId="42">
    <w:name w:val="42"/>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Courier" w:hAnsi="Courier" w:eastAsia="WP MathB" w:cs="Garamond"/>
      <w:color w:val="auto"/>
      <w:kern w:val="2"/>
      <w:sz w:val="24"/>
      <w:szCs w:val="24"/>
      <w:lang w:val="en-CA" w:eastAsia="zh-CN" w:bidi="hi-IN"/>
    </w:rPr>
  </w:style>
  <w:style w:type="paragraph" w:styleId="52">
    <w:name w:val="5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6480" w:start="3600"/>
      <w:jc w:val="both"/>
    </w:pPr>
    <w:rPr>
      <w:rFonts w:ascii="Courier" w:hAnsi="Courier" w:eastAsia="WP MathB" w:cs="Garamond"/>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Courier" w:hAnsi="Courier" w:eastAsia="WP MathB" w:cs="Garamond"/>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Courier" w:hAnsi="Courier" w:eastAsia="WP MathB" w:cs="Garamond"/>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Courier" w:hAnsi="Courier" w:eastAsia="WP MathB" w:cs="Garamond"/>
      <w:color w:val="auto"/>
      <w:kern w:val="2"/>
      <w:sz w:val="24"/>
      <w:szCs w:val="24"/>
      <w:lang w:val="en-CA" w:eastAsia="zh-CN" w:bidi="hi-IN"/>
    </w:rPr>
  </w:style>
  <w:style w:type="paragraph" w:styleId="1Kathy">
    <w:name w:val="1Kathy"/>
    <w:qFormat/>
    <w:pPr>
      <w:widowControl w:val="false"/>
      <w:bidi w:val="0"/>
    </w:pPr>
    <w:rPr>
      <w:rFonts w:ascii="Courier" w:hAnsi="Courier" w:eastAsia="WP MathB" w:cs="Garamond"/>
      <w:color w:val="auto"/>
      <w:kern w:val="2"/>
      <w:sz w:val="24"/>
      <w:szCs w:val="24"/>
      <w:lang w:val="en-CA" w:eastAsia="zh-CN" w:bidi="hi-IN"/>
    </w:rPr>
  </w:style>
  <w:style w:type="paragraph" w:styleId="2Kathy">
    <w:name w:val="2Kathy"/>
    <w:qFormat/>
    <w:pPr>
      <w:widowControl w:val="false"/>
      <w:bidi w:val="0"/>
      <w:spacing w:lineRule="atLeast" w:line="0"/>
      <w:ind w:start="720"/>
      <w:jc w:val="both"/>
    </w:pPr>
    <w:rPr>
      <w:rFonts w:ascii="Courier" w:hAnsi="Courier" w:eastAsia="WP MathB" w:cs="Garamond"/>
      <w:color w:val="auto"/>
      <w:kern w:val="2"/>
      <w:sz w:val="24"/>
      <w:szCs w:val="24"/>
      <w:lang w:val="en-CA" w:eastAsia="zh-CN" w:bidi="hi-IN"/>
    </w:rPr>
  </w:style>
  <w:style w:type="paragraph" w:styleId="3Kathy">
    <w:name w:val="3Kathy"/>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4Kathy">
    <w:name w:val="4Kathy"/>
    <w:qFormat/>
    <w:pPr>
      <w:widowControl w:val="false"/>
      <w:bidi w:val="0"/>
      <w:spacing w:lineRule="atLeast" w:line="0"/>
      <w:ind w:start="2160"/>
      <w:jc w:val="both"/>
    </w:pPr>
    <w:rPr>
      <w:rFonts w:ascii="Courier" w:hAnsi="Courier" w:eastAsia="WP MathB" w:cs="Garamond"/>
      <w:color w:val="auto"/>
      <w:kern w:val="2"/>
      <w:sz w:val="24"/>
      <w:szCs w:val="24"/>
      <w:lang w:val="en-CA" w:eastAsia="zh-CN" w:bidi="hi-IN"/>
    </w:rPr>
  </w:style>
  <w:style w:type="paragraph" w:styleId="5Kathy">
    <w:name w:val="5Kathy"/>
    <w:qFormat/>
    <w:pPr>
      <w:widowControl w:val="false"/>
      <w:bidi w:val="0"/>
      <w:spacing w:lineRule="atLeast" w:line="0"/>
      <w:ind w:start="2880"/>
      <w:jc w:val="both"/>
    </w:pPr>
    <w:rPr>
      <w:rFonts w:ascii="Courier" w:hAnsi="Courier" w:eastAsia="WP MathB" w:cs="Garamond"/>
      <w:color w:val="auto"/>
      <w:kern w:val="2"/>
      <w:sz w:val="24"/>
      <w:szCs w:val="24"/>
      <w:lang w:val="en-CA" w:eastAsia="zh-CN" w:bidi="hi-IN"/>
    </w:rPr>
  </w:style>
  <w:style w:type="paragraph" w:styleId="6Kathy">
    <w:name w:val="6Kathy"/>
    <w:qFormat/>
    <w:pPr>
      <w:widowControl w:val="false"/>
      <w:bidi w:val="0"/>
      <w:spacing w:lineRule="atLeast" w:line="0"/>
      <w:ind w:start="3600"/>
      <w:jc w:val="both"/>
    </w:pPr>
    <w:rPr>
      <w:rFonts w:ascii="Courier" w:hAnsi="Courier" w:eastAsia="WP MathB" w:cs="Garamond"/>
      <w:color w:val="auto"/>
      <w:kern w:val="2"/>
      <w:sz w:val="24"/>
      <w:szCs w:val="24"/>
      <w:lang w:val="en-CA" w:eastAsia="zh-CN" w:bidi="hi-IN"/>
    </w:rPr>
  </w:style>
  <w:style w:type="paragraph" w:styleId="7Kathy">
    <w:name w:val="7Kathy"/>
    <w:qFormat/>
    <w:pPr>
      <w:widowControl w:val="false"/>
      <w:bidi w:val="0"/>
      <w:spacing w:lineRule="atLeast" w:line="0"/>
      <w:ind w:start="4320"/>
      <w:jc w:val="both"/>
    </w:pPr>
    <w:rPr>
      <w:rFonts w:ascii="Courier" w:hAnsi="Courier" w:eastAsia="WP MathB" w:cs="Garamond"/>
      <w:color w:val="auto"/>
      <w:kern w:val="2"/>
      <w:sz w:val="24"/>
      <w:szCs w:val="24"/>
      <w:lang w:val="en-CA" w:eastAsia="zh-CN" w:bidi="hi-IN"/>
    </w:rPr>
  </w:style>
  <w:style w:type="paragraph" w:styleId="8Kathy">
    <w:name w:val="8Kathy"/>
    <w:qFormat/>
    <w:pPr>
      <w:widowControl w:val="false"/>
      <w:bidi w:val="0"/>
      <w:spacing w:lineRule="atLeast" w:line="0"/>
      <w:ind w:start="5040"/>
      <w:jc w:val="both"/>
    </w:pPr>
    <w:rPr>
      <w:rFonts w:ascii="Courier" w:hAnsi="Courier" w:eastAsia="WP MathB" w:cs="Garamond"/>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Courier" w:hAnsi="Courier" w:eastAsia="WP MathB" w:cs="Garamond"/>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4Document">
    <w:name w:val="4Document"/>
    <w:qFormat/>
    <w:pPr>
      <w:widowControl w:val="false"/>
      <w:bidi w:val="0"/>
    </w:pPr>
    <w:rPr>
      <w:rFonts w:ascii="Courier" w:hAnsi="Courier" w:eastAsia="WP MathB" w:cs="Garamond"/>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Courier" w:hAnsi="Courier" w:eastAsia="WP MathB" w:cs="Garamond"/>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Courier" w:hAnsi="Courier" w:eastAsia="WP MathB" w:cs="Garamond"/>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Courier" w:hAnsi="Courier" w:eastAsia="WP MathB" w:cs="Garamond"/>
      <w:color w:val="auto"/>
      <w:kern w:val="2"/>
      <w:sz w:val="24"/>
      <w:szCs w:val="24"/>
      <w:lang w:val="en-CA" w:eastAsia="zh-CN" w:bidi="hi-IN"/>
    </w:rPr>
  </w:style>
  <w:style w:type="paragraph" w:styleId="BodyText3">
    <w:name w:val="Body Text 3"/>
    <w:qFormat/>
    <w:pPr>
      <w:widowControl w:val="false"/>
      <w:bidi w:val="0"/>
    </w:pPr>
    <w:rPr>
      <w:rFonts w:ascii="Courier" w:hAnsi="Courier" w:eastAsia="WP MathB" w:cs="Garamond"/>
      <w:color w:val="auto"/>
      <w:kern w:val="2"/>
      <w:sz w:val="24"/>
      <w:szCs w:val="24"/>
      <w:lang w:val="en-CA" w:eastAsia="zh-CN" w:bidi="hi-IN"/>
    </w:rPr>
  </w:style>
  <w:style w:type="paragraph" w:styleId="KMCLhdFull">
    <w:name w:val="KMC Lhd Full"/>
    <w:qFormat/>
    <w:pPr>
      <w:widowControl w:val="false"/>
      <w:bidi w:val="0"/>
    </w:pPr>
    <w:rPr>
      <w:rFonts w:ascii="Courier" w:hAnsi="Courier" w:eastAsia="WP MathB" w:cs="Garamond"/>
      <w:color w:val="auto"/>
      <w:kern w:val="2"/>
      <w:sz w:val="24"/>
      <w:szCs w:val="24"/>
      <w:lang w:val="en-CA" w:eastAsia="zh-CN" w:bidi="hi-IN"/>
    </w:rPr>
  </w:style>
  <w:style w:type="paragraph" w:styleId="KMSLhdFull">
    <w:name w:val="KMS Lhd Full"/>
    <w:qFormat/>
    <w:pPr>
      <w:widowControl w:val="false"/>
      <w:bidi w:val="0"/>
    </w:pPr>
    <w:rPr>
      <w:rFonts w:ascii="Courier" w:hAnsi="Courier" w:eastAsia="WP MathB" w:cs="Garamond"/>
      <w:color w:val="auto"/>
      <w:kern w:val="2"/>
      <w:sz w:val="24"/>
      <w:szCs w:val="24"/>
      <w:lang w:val="en-CA" w:eastAsia="zh-CN" w:bidi="hi-IN"/>
    </w:rPr>
  </w:style>
  <w:style w:type="paragraph" w:styleId="PGELhdFull">
    <w:name w:val="PGE Lhd Full"/>
    <w:qFormat/>
    <w:pPr>
      <w:widowControl w:val="false"/>
      <w:bidi w:val="0"/>
    </w:pPr>
    <w:rPr>
      <w:rFonts w:ascii="Courier" w:hAnsi="Courier" w:eastAsia="WP MathB" w:cs="Garamond"/>
      <w:color w:val="auto"/>
      <w:kern w:val="2"/>
      <w:sz w:val="24"/>
      <w:szCs w:val="24"/>
      <w:lang w:val="en-CA" w:eastAsia="zh-CN" w:bidi="hi-IN"/>
    </w:rPr>
  </w:style>
  <w:style w:type="paragraph" w:styleId="EWHLhdFull">
    <w:name w:val="EWH Lhd Full"/>
    <w:qFormat/>
    <w:pPr>
      <w:widowControl w:val="false"/>
      <w:bidi w:val="0"/>
    </w:pPr>
    <w:rPr>
      <w:rFonts w:ascii="Courier" w:hAnsi="Courier" w:eastAsia="WP MathB" w:cs="Garamond"/>
      <w:color w:val="auto"/>
      <w:kern w:val="2"/>
      <w:sz w:val="24"/>
      <w:szCs w:val="24"/>
      <w:lang w:val="en-CA" w:eastAsia="zh-CN" w:bidi="hi-IN"/>
    </w:rPr>
  </w:style>
  <w:style w:type="paragraph" w:styleId="KMSPersonal">
    <w:name w:val="KMS Personal"/>
    <w:qFormat/>
    <w:pPr>
      <w:widowControl w:val="false"/>
      <w:bidi w:val="0"/>
    </w:pPr>
    <w:rPr>
      <w:rFonts w:ascii="Courier" w:hAnsi="Courier" w:eastAsia="WP MathB" w:cs="Garamond"/>
      <w:color w:val="auto"/>
      <w:kern w:val="2"/>
      <w:sz w:val="24"/>
      <w:szCs w:val="24"/>
      <w:lang w:val="en-CA" w:eastAsia="zh-CN" w:bidi="hi-IN"/>
    </w:rPr>
  </w:style>
  <w:style w:type="paragraph" w:styleId="DFJPersonal">
    <w:name w:val="DFJ Personal"/>
    <w:qFormat/>
    <w:pPr>
      <w:widowControl w:val="false"/>
      <w:bidi w:val="0"/>
    </w:pPr>
    <w:rPr>
      <w:rFonts w:ascii="Courier" w:hAnsi="Courier" w:eastAsia="WP MathB" w:cs="Garamond"/>
      <w:color w:val="auto"/>
      <w:kern w:val="2"/>
      <w:sz w:val="24"/>
      <w:szCs w:val="24"/>
      <w:lang w:val="en-CA" w:eastAsia="zh-CN" w:bidi="hi-IN"/>
    </w:rPr>
  </w:style>
  <w:style w:type="paragraph" w:styleId="PGEPersonal">
    <w:name w:val="PGE Personal"/>
    <w:qFormat/>
    <w:pPr>
      <w:widowControl w:val="false"/>
      <w:bidi w:val="0"/>
    </w:pPr>
    <w:rPr>
      <w:rFonts w:ascii="Courier" w:hAnsi="Courier" w:eastAsia="WP MathB" w:cs="Garamond"/>
      <w:color w:val="auto"/>
      <w:kern w:val="2"/>
      <w:sz w:val="24"/>
      <w:szCs w:val="24"/>
      <w:lang w:val="en-CA" w:eastAsia="zh-CN" w:bidi="hi-IN"/>
    </w:rPr>
  </w:style>
  <w:style w:type="paragraph" w:styleId="cips">
    <w:name w:val="cips"/>
    <w:qFormat/>
    <w:pPr>
      <w:widowControl w:val="false"/>
      <w:bidi w:val="0"/>
    </w:pPr>
    <w:rPr>
      <w:rFonts w:ascii="Courier" w:hAnsi="Courier" w:eastAsia="WP MathB" w:cs="Garamond"/>
      <w:color w:val="auto"/>
      <w:kern w:val="2"/>
      <w:sz w:val="24"/>
      <w:szCs w:val="24"/>
      <w:lang w:val="en-CA" w:eastAsia="zh-CN" w:bidi="hi-IN"/>
    </w:rPr>
  </w:style>
  <w:style w:type="paragraph" w:styleId="DFJLhdFull">
    <w:name w:val="DFJ Lhd Full"/>
    <w:qFormat/>
    <w:pPr>
      <w:widowControl w:val="false"/>
      <w:bidi w:val="0"/>
    </w:pPr>
    <w:rPr>
      <w:rFonts w:ascii="Courier" w:hAnsi="Courier" w:eastAsia="WP MathB" w:cs="Garamond"/>
      <w:color w:val="auto"/>
      <w:kern w:val="2"/>
      <w:sz w:val="24"/>
      <w:szCs w:val="24"/>
      <w:lang w:val="en-CA" w:eastAsia="zh-CN" w:bidi="hi-IN"/>
    </w:rPr>
  </w:style>
  <w:style w:type="paragraph" w:styleId="FirmLhdFul">
    <w:name w:val="Firm Lhd Ful"/>
    <w:qFormat/>
    <w:pPr>
      <w:widowControl w:val="false"/>
      <w:bidi w:val="0"/>
    </w:pPr>
    <w:rPr>
      <w:rFonts w:ascii="Courier" w:hAnsi="Courier" w:eastAsia="WP MathB" w:cs="Garamond"/>
      <w:color w:val="auto"/>
      <w:kern w:val="2"/>
      <w:sz w:val="24"/>
      <w:szCs w:val="24"/>
      <w:lang w:val="en-CA" w:eastAsia="zh-CN" w:bidi="hi-IN"/>
    </w:rPr>
  </w:style>
  <w:style w:type="paragraph" w:styleId="EWHPersonal">
    <w:name w:val="EWH Personal"/>
    <w:qFormat/>
    <w:pPr>
      <w:widowControl w:val="false"/>
      <w:bidi w:val="0"/>
    </w:pPr>
    <w:rPr>
      <w:rFonts w:ascii="Courier" w:hAnsi="Courier" w:eastAsia="WP MathB" w:cs="Garamond"/>
      <w:color w:val="auto"/>
      <w:kern w:val="2"/>
      <w:sz w:val="24"/>
      <w:szCs w:val="24"/>
      <w:lang w:val="en-CA" w:eastAsia="zh-CN" w:bidi="hi-IN"/>
    </w:rPr>
  </w:style>
  <w:style w:type="paragraph" w:styleId="KMCPersonal">
    <w:name w:val="KMC Personal"/>
    <w:qFormat/>
    <w:pPr>
      <w:widowControl w:val="false"/>
      <w:bidi w:val="0"/>
    </w:pPr>
    <w:rPr>
      <w:rFonts w:ascii="Courier" w:hAnsi="Courier" w:eastAsia="WP MathB" w:cs="Garamond"/>
      <w:color w:val="auto"/>
      <w:kern w:val="2"/>
      <w:sz w:val="24"/>
      <w:szCs w:val="24"/>
      <w:lang w:val="en-CA" w:eastAsia="zh-CN" w:bidi="hi-IN"/>
    </w:rPr>
  </w:style>
  <w:style w:type="paragraph" w:styleId="KMCsLtrhd">
    <w:name w:val="KMC's Ltrhd"/>
    <w:qFormat/>
    <w:pPr>
      <w:widowControl w:val="false"/>
      <w:bidi w:val="0"/>
    </w:pPr>
    <w:rPr>
      <w:rFonts w:ascii="Courier" w:hAnsi="Courier" w:eastAsia="WP MathB" w:cs="Garamond"/>
      <w:color w:val="auto"/>
      <w:kern w:val="2"/>
      <w:sz w:val="24"/>
      <w:szCs w:val="24"/>
      <w:lang w:val="en-CA" w:eastAsia="zh-CN" w:bidi="hi-IN"/>
    </w:rPr>
  </w:style>
  <w:style w:type="paragraph" w:styleId="KMSsLtrhd">
    <w:name w:val="KMS's Ltrhd"/>
    <w:qFormat/>
    <w:pPr>
      <w:widowControl w:val="false"/>
      <w:bidi w:val="0"/>
    </w:pPr>
    <w:rPr>
      <w:rFonts w:ascii="Courier" w:hAnsi="Courier" w:eastAsia="WP MathB" w:cs="Garamond"/>
      <w:color w:val="auto"/>
      <w:kern w:val="2"/>
      <w:sz w:val="24"/>
      <w:szCs w:val="24"/>
      <w:lang w:val="en-CA" w:eastAsia="zh-CN" w:bidi="hi-IN"/>
    </w:rPr>
  </w:style>
  <w:style w:type="paragraph" w:styleId="EWHsLtrhd">
    <w:name w:val="EWH's Ltrhd"/>
    <w:qFormat/>
    <w:pPr>
      <w:widowControl w:val="false"/>
      <w:bidi w:val="0"/>
    </w:pPr>
    <w:rPr>
      <w:rFonts w:ascii="Courier" w:hAnsi="Courier" w:eastAsia="WP MathB" w:cs="Garamond"/>
      <w:color w:val="auto"/>
      <w:kern w:val="2"/>
      <w:sz w:val="24"/>
      <w:szCs w:val="24"/>
      <w:lang w:val="en-CA" w:eastAsia="zh-CN" w:bidi="hi-IN"/>
    </w:rPr>
  </w:style>
  <w:style w:type="paragraph" w:styleId="DFJsLtrhd">
    <w:name w:val="DFJ's Ltrhd"/>
    <w:qFormat/>
    <w:pPr>
      <w:widowControl w:val="false"/>
      <w:bidi w:val="0"/>
    </w:pPr>
    <w:rPr>
      <w:rFonts w:ascii="Courier" w:hAnsi="Courier" w:eastAsia="WP MathB" w:cs="Garamond"/>
      <w:color w:val="auto"/>
      <w:kern w:val="2"/>
      <w:sz w:val="24"/>
      <w:szCs w:val="24"/>
      <w:lang w:val="en-CA" w:eastAsia="zh-CN" w:bidi="hi-IN"/>
    </w:rPr>
  </w:style>
  <w:style w:type="paragraph" w:styleId="PGEsLtrhd">
    <w:name w:val="PGE's Ltrhd"/>
    <w:qFormat/>
    <w:pPr>
      <w:widowControl w:val="false"/>
      <w:bidi w:val="0"/>
    </w:pPr>
    <w:rPr>
      <w:rFonts w:ascii="Courier" w:hAnsi="Courier" w:eastAsia="WP MathB" w:cs="Garamond"/>
      <w:color w:val="auto"/>
      <w:kern w:val="2"/>
      <w:sz w:val="24"/>
      <w:szCs w:val="24"/>
      <w:lang w:val="en-CA" w:eastAsia="zh-CN" w:bidi="hi-IN"/>
    </w:rPr>
  </w:style>
  <w:style w:type="paragraph" w:styleId="FirmLtrhd">
    <w:name w:val="Firm Ltrhd"/>
    <w:qFormat/>
    <w:pPr>
      <w:widowControl w:val="false"/>
      <w:bidi w:val="0"/>
    </w:pPr>
    <w:rPr>
      <w:rFonts w:ascii="Courier" w:hAnsi="Courier" w:eastAsia="WP MathB" w:cs="Garamond"/>
      <w:color w:val="auto"/>
      <w:kern w:val="2"/>
      <w:sz w:val="24"/>
      <w:szCs w:val="24"/>
      <w:lang w:val="en-CA" w:eastAsia="zh-CN" w:bidi="hi-IN"/>
    </w:rPr>
  </w:style>
  <w:style w:type="paragraph" w:styleId="Pleading">
    <w:name w:val="Pleading"/>
    <w:qFormat/>
    <w:pPr>
      <w:widowControl w:val="false"/>
      <w:bidi w:val="0"/>
    </w:pPr>
    <w:rPr>
      <w:rFonts w:ascii="Courier" w:hAnsi="Courier" w:eastAsia="WP MathB" w:cs="Garamond"/>
      <w:color w:val="auto"/>
      <w:kern w:val="2"/>
      <w:sz w:val="24"/>
      <w:szCs w:val="24"/>
      <w:lang w:val="en-CA" w:eastAsia="zh-CN" w:bidi="hi-IN"/>
    </w:rPr>
  </w:style>
  <w:style w:type="paragraph" w:styleId="TechInit">
    <w:name w:val="Tech Init"/>
    <w:qFormat/>
    <w:pPr>
      <w:widowControl w:val="false"/>
      <w:bidi w:val="0"/>
    </w:pPr>
    <w:rPr>
      <w:rFonts w:ascii="Courier" w:hAnsi="Courier" w:eastAsia="WP MathB" w:cs="Garamond"/>
      <w:color w:val="auto"/>
      <w:kern w:val="2"/>
      <w:sz w:val="24"/>
      <w:szCs w:val="24"/>
      <w:lang w:val="en-CA" w:eastAsia="zh-CN" w:bidi="hi-IN"/>
    </w:rPr>
  </w:style>
  <w:style w:type="paragraph" w:styleId="8">
    <w:name w:val="[8]"/>
    <w:qFormat/>
    <w:pPr>
      <w:widowControl w:val="false"/>
      <w:tabs>
        <w:tab w:val="left" w:pos="720" w:leader="none"/>
      </w:tabs>
      <w:bidi w:val="0"/>
      <w:spacing w:lineRule="atLeast" w:line="0"/>
    </w:pPr>
    <w:rPr>
      <w:rFonts w:ascii="Courier" w:hAnsi="Courier" w:eastAsia="WP MathB" w:cs="Garamond"/>
      <w:b/>
      <w:color w:val="auto"/>
      <w:kern w:val="2"/>
      <w:sz w:val="24"/>
      <w:szCs w:val="24"/>
      <w:lang w:val="en-CA" w:eastAsia="zh-CN" w:bidi="hi-IN"/>
    </w:rPr>
  </w:style>
  <w:style w:type="paragraph" w:styleId="7">
    <w:name w:val="[7]"/>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6">
    <w:name w:val="[6]"/>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5">
    <w:name w:val="[5]"/>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1">
    <w:name w:val="[1]"/>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2">
    <w:name w:val="[2]"/>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4">
    <w:name w:val="[4]"/>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3">
    <w:name w:val="[3]"/>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FootnoteText">
    <w:name w:val="footnote text"/>
    <w:basedOn w:val="Normal"/>
    <w:pPr/>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image" Target="media/image4.wmf"/><Relationship Id="rId12" Type="http://schemas.openxmlformats.org/officeDocument/2006/relationships/oleObject" Target="embeddings/oleObject1.bin"/><Relationship Id="rId13" Type="http://schemas.openxmlformats.org/officeDocument/2006/relationships/image" Target="media/image5.wmf"/><Relationship Id="rId14" Type="http://schemas.openxmlformats.org/officeDocument/2006/relationships/oleObject" Target="embeddings/oleObject2.bin"/><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notes" Target="footnotes.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image" Target="media/image8.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