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6"/>
          <w:lang w:val="en-CA"/>
        </w:rPr>
      </w:pPr>
      <w:r>
        <w:rPr>
          <w:b/>
          <w:sz w:val="16"/>
          <w:lang w:val="en-CA"/>
        </w:rPr>
        <w:object w:dxaOrig="1103" w:dyaOrig="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21.6pt;width:43.2pt;height:28.8pt;mso-wrap-distance-left:9.05pt;mso-wrap-distance-right:9.05pt;mso-position-horizontal-relative:text;mso-position-vertical-relative:text" filled="f" o:ole="">
            <v:imagedata r:id="rId3" o:title=""/>
            <w10:wrap type="topAndBottom"/>
          </v:shape>
          <o:OLEObject Type="Embed" ProgID="" ShapeID="ole_rId2" DrawAspect="Content" ObjectID="_1835332570" r:id="rId2"/>
        </w:object>
      </w:r>
    </w:p>
    <w:tbl>
      <w:tblPr>
        <w:tblW w:w="9198" w:type="dxa"/>
        <w:jc w:val="start"/>
        <w:tblInd w:w="0" w:type="dxa"/>
        <w:tblLayout w:type="fixed"/>
        <w:tblCellMar>
          <w:top w:w="0" w:type="dxa"/>
          <w:start w:w="108" w:type="dxa"/>
          <w:bottom w:w="0" w:type="dxa"/>
          <w:end w:w="108" w:type="dxa"/>
        </w:tblCellMar>
      </w:tblPr>
      <w:tblGrid>
        <w:gridCol w:w="3528"/>
        <w:gridCol w:w="90"/>
        <w:gridCol w:w="891"/>
        <w:gridCol w:w="549"/>
        <w:gridCol w:w="90"/>
        <w:gridCol w:w="3960"/>
        <w:gridCol w:w="90"/>
      </w:tblGrid>
      <w:tr>
        <w:trPr/>
        <w:tc>
          <w:tcPr>
            <w:tcW w:w="3618" w:type="dxa"/>
            <w:gridSpan w:val="2"/>
            <w:tcBorders/>
          </w:tcPr>
          <w:p>
            <w:pPr>
              <w:pStyle w:val="Normal"/>
              <w:tabs>
                <w:tab w:val="clear" w:pos="720"/>
                <w:tab w:val="left" w:pos="360" w:leader="none"/>
              </w:tabs>
              <w:spacing w:before="0" w:after="60"/>
              <w:rPr>
                <w:b/>
                <w:sz w:val="24"/>
              </w:rPr>
            </w:pPr>
            <w:r>
              <w:rPr>
                <w:b/>
                <w:sz w:val="24"/>
              </w:rPr>
              <w:t>AEC MARKETING (USA) INC.</w:t>
            </w:r>
          </w:p>
          <w:p>
            <w:pPr>
              <w:pStyle w:val="Normal"/>
              <w:tabs>
                <w:tab w:val="clear" w:pos="720"/>
                <w:tab w:val="left" w:pos="360" w:leader="none"/>
              </w:tabs>
              <w:rPr>
                <w:sz w:val="22"/>
              </w:rPr>
            </w:pPr>
            <w:r>
              <w:rPr>
                <w:sz w:val="22"/>
              </w:rPr>
              <w:t>3900, 421 - Seventh Avenue SW</w:t>
            </w:r>
          </w:p>
          <w:p>
            <w:pPr>
              <w:pStyle w:val="Normal"/>
              <w:tabs>
                <w:tab w:val="clear" w:pos="720"/>
                <w:tab w:val="left" w:pos="360" w:leader="none"/>
                <w:tab w:val="left" w:pos="3150" w:leader="none"/>
                <w:tab w:val="left" w:pos="3510" w:leader="none"/>
              </w:tabs>
              <w:rPr>
                <w:sz w:val="22"/>
              </w:rPr>
            </w:pPr>
            <w:r>
              <w:rPr>
                <w:sz w:val="22"/>
              </w:rPr>
              <w:t>Calgary, Alberta  T2P 4K9</w:t>
            </w:r>
          </w:p>
          <w:p>
            <w:pPr>
              <w:pStyle w:val="Normal"/>
              <w:tabs>
                <w:tab w:val="left" w:pos="360" w:leader="none"/>
                <w:tab w:val="left" w:pos="720" w:leader="none"/>
              </w:tabs>
              <w:rPr>
                <w:sz w:val="22"/>
              </w:rPr>
            </w:pPr>
            <w:r>
              <w:rPr>
                <w:sz w:val="22"/>
              </w:rPr>
              <w:t>Phone</w:t>
              <w:tab/>
              <w:t>(403) 266-8111</w:t>
            </w:r>
          </w:p>
          <w:p>
            <w:pPr>
              <w:pStyle w:val="Normal"/>
              <w:tabs>
                <w:tab w:val="left" w:pos="360" w:leader="none"/>
                <w:tab w:val="left" w:pos="720" w:leader="none"/>
              </w:tabs>
              <w:rPr>
                <w:sz w:val="22"/>
              </w:rPr>
            </w:pPr>
            <w:r>
              <w:rPr>
                <w:sz w:val="22"/>
              </w:rPr>
              <w:t>Fax</w:t>
              <w:tab/>
              <w:tab/>
              <w:t>(403) 266-9746</w:t>
            </w:r>
          </w:p>
          <w:p>
            <w:pPr>
              <w:pStyle w:val="Normal"/>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4"/>
              </w:rPr>
            </w:pPr>
            <w:r>
              <w:rPr>
                <w:sz w:val="14"/>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Heading5"/>
              <w:ind w:hanging="0" w:start="0"/>
              <w:rPr>
                <w:rFonts w:ascii="Times New Roman" w:hAnsi="Times New Roman" w:cs="Times New Roman"/>
                <w:b w:val="false"/>
                <w:sz w:val="16"/>
              </w:rPr>
            </w:pPr>
            <w:r>
              <w:rPr>
                <w:rFonts w:cs="Times New Roman" w:ascii="Times New Roman" w:hAnsi="Times New Roman"/>
              </w:rPr>
              <w:t>Ann M. Crawford</w:t>
            </w:r>
          </w:p>
        </w:tc>
        <w:tc>
          <w:tcPr>
            <w:tcW w:w="90" w:type="dxa"/>
            <w:tcBorders/>
            <w:tcMar>
              <w:start w:w="0" w:type="dxa"/>
              <w:end w:w="0" w:type="dxa"/>
            </w:tcMar>
          </w:tcPr>
          <w:p>
            <w:pPr>
              <w:pStyle w:val="Normal"/>
              <w:snapToGrid w:val="false"/>
              <w:rPr>
                <w:rFonts w:ascii="Times New Roman" w:hAnsi="Times New Roman" w:cs="Times New Roman"/>
                <w:b w:val="false"/>
                <w:sz w:val="16"/>
              </w:rPr>
            </w:pPr>
            <w:r>
              <w:rPr>
                <w:rFonts w:cs="Times New Roman"/>
                <w:b w:val="false"/>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b/>
                <w:sz w:val="16"/>
              </w:rPr>
              <w:t>Gas Marketing,</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4"/>
              </w:rPr>
            </w:pPr>
            <w:r>
              <w:rPr>
                <w:b/>
                <w:sz w:val="16"/>
              </w:rPr>
              <w:t>Sr. Contract Administrator</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6"/>
              </w:rPr>
            </w:pPr>
            <w:r>
              <w:rPr>
                <w:sz w:val="16"/>
              </w:rPr>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DIRECT  LINE: (403) 266-8425</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FAX:  (403) 290-8479</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E-MAIL:  anncrawford@aec.ca</w:t>
            </w:r>
          </w:p>
        </w:tc>
        <w:tc>
          <w:tcPr>
            <w:tcW w:w="90" w:type="dxa"/>
            <w:tcBorders/>
            <w:tcMar>
              <w:start w:w="0" w:type="dxa"/>
              <w:end w:w="0" w:type="dxa"/>
            </w:tcMar>
          </w:tcPr>
          <w:p>
            <w:pPr>
              <w:pStyle w:val="Normal"/>
              <w:snapToGrid w:val="false"/>
              <w:rPr>
                <w:sz w:val="16"/>
              </w:rPr>
            </w:pPr>
            <w:r>
              <w:rPr>
                <w:sz w:val="16"/>
              </w:rPr>
            </w:r>
          </w:p>
        </w:tc>
      </w:tr>
      <w:tr>
        <w:trPr/>
        <w:tc>
          <w:tcPr>
            <w:tcW w:w="4509" w:type="dxa"/>
            <w:gridSpan w:val="3"/>
            <w:tcBorders/>
          </w:tcPr>
          <w:p>
            <w:pPr>
              <w:pStyle w:val="Normal"/>
              <w:rPr>
                <w:b/>
                <w:sz w:val="22"/>
              </w:rPr>
            </w:pPr>
            <w:r>
              <w:rPr>
                <w:sz w:val="22"/>
              </w:rPr>
              <w:t>March 7, 2001</w:t>
            </w:r>
          </w:p>
          <w:p>
            <w:pPr>
              <w:pStyle w:val="Normal"/>
              <w:rPr>
                <w:b/>
                <w:sz w:val="22"/>
              </w:rPr>
            </w:pPr>
            <w:r>
              <w:rPr>
                <w:b/>
                <w:sz w:val="22"/>
              </w:rPr>
            </w:r>
          </w:p>
          <w:p>
            <w:pPr>
              <w:pStyle w:val="Normal"/>
              <w:rPr>
                <w:b/>
                <w:sz w:val="22"/>
              </w:rPr>
            </w:pPr>
            <w:r>
              <w:rPr>
                <w:b/>
                <w:sz w:val="22"/>
              </w:rPr>
            </w:r>
          </w:p>
          <w:p>
            <w:pPr>
              <w:pStyle w:val="BodyText"/>
              <w:rPr>
                <w:rFonts w:ascii="Times New Roman" w:hAnsi="Times New Roman" w:cs="Times New Roman"/>
              </w:rPr>
            </w:pPr>
            <w:r>
              <w:rPr>
                <w:rFonts w:cs="Times New Roman" w:ascii="Times New Roman" w:hAnsi="Times New Roman"/>
              </w:rPr>
              <w:t>Enron North America Corp.</w:t>
            </w:r>
          </w:p>
          <w:p>
            <w:pPr>
              <w:pStyle w:val="Normal"/>
              <w:rPr>
                <w:sz w:val="22"/>
              </w:rPr>
            </w:pPr>
            <w:r>
              <w:rPr>
                <w:sz w:val="22"/>
              </w:rPr>
              <w:t>1200 Smith Street, Suite 900</w:t>
            </w:r>
          </w:p>
          <w:p>
            <w:pPr>
              <w:pStyle w:val="Normal"/>
              <w:rPr>
                <w:sz w:val="22"/>
              </w:rPr>
            </w:pPr>
            <w:r>
              <w:rPr>
                <w:sz w:val="22"/>
              </w:rPr>
              <w:t>Houston, Texas  77002</w:t>
            </w:r>
          </w:p>
          <w:p>
            <w:pPr>
              <w:pStyle w:val="Normal"/>
              <w:rPr>
                <w:sz w:val="22"/>
              </w:rPr>
            </w:pPr>
            <w:r>
              <w:rPr>
                <w:sz w:val="22"/>
              </w:rPr>
            </w:r>
          </w:p>
        </w:tc>
        <w:tc>
          <w:tcPr>
            <w:tcW w:w="4599" w:type="dxa"/>
            <w:gridSpan w:val="3"/>
            <w:tcBorders/>
          </w:tcPr>
          <w:p>
            <w:pPr>
              <w:pStyle w:val="Normal"/>
              <w:snapToGrid w:val="false"/>
              <w:jc w:val="end"/>
              <w:rPr>
                <w:b/>
                <w:sz w:val="22"/>
              </w:rPr>
            </w:pPr>
            <w:r>
              <w:rPr>
                <w:b/>
                <w:sz w:val="22"/>
              </w:rPr>
            </w:r>
          </w:p>
          <w:p>
            <w:pPr>
              <w:pStyle w:val="Normal"/>
              <w:jc w:val="end"/>
              <w:rPr>
                <w:b/>
                <w:sz w:val="22"/>
              </w:rPr>
            </w:pPr>
            <w:r>
              <w:rPr>
                <w:b/>
                <w:sz w:val="22"/>
              </w:rPr>
            </w:r>
          </w:p>
          <w:p>
            <w:pPr>
              <w:pStyle w:val="Normal"/>
              <w:jc w:val="end"/>
              <w:rPr>
                <w:b/>
                <w:sz w:val="22"/>
              </w:rPr>
            </w:pPr>
            <w:r>
              <w:rPr>
                <w:b/>
                <w:sz w:val="22"/>
              </w:rPr>
            </w:r>
          </w:p>
          <w:p>
            <w:pPr>
              <w:pStyle w:val="Normal"/>
              <w:jc w:val="end"/>
              <w:rPr>
                <w:b/>
                <w:sz w:val="22"/>
              </w:rPr>
            </w:pPr>
            <w:r>
              <w:rPr>
                <w:b/>
                <w:sz w:val="22"/>
              </w:rPr>
              <w:t>VIA EMAIL ONLY</w:t>
            </w:r>
          </w:p>
          <w:p>
            <w:pPr>
              <w:pStyle w:val="Normal"/>
              <w:jc w:val="end"/>
              <w:rPr>
                <w:sz w:val="22"/>
              </w:rPr>
            </w:pPr>
            <w:r>
              <w:rPr>
                <w:sz w:val="22"/>
              </w:rPr>
              <w:t>Gerald.Nemec@enron.com</w:t>
            </w:r>
          </w:p>
        </w:tc>
        <w:tc>
          <w:tcPr>
            <w:tcW w:w="90" w:type="dxa"/>
            <w:tcBorders/>
            <w:tcMar>
              <w:start w:w="0" w:type="dxa"/>
              <w:end w:w="0" w:type="dxa"/>
            </w:tcMar>
          </w:tcPr>
          <w:p>
            <w:pPr>
              <w:pStyle w:val="Normal"/>
              <w:snapToGrid w:val="false"/>
              <w:rPr>
                <w:b/>
                <w:sz w:val="22"/>
              </w:rPr>
            </w:pPr>
            <w:r>
              <w:rPr>
                <w:b/>
                <w:sz w:val="22"/>
              </w:rPr>
            </w:r>
          </w:p>
        </w:tc>
      </w:tr>
    </w:tbl>
    <w:p>
      <w:pPr>
        <w:pStyle w:val="Normal"/>
        <w:jc w:val="both"/>
        <w:rPr>
          <w:sz w:val="22"/>
        </w:rPr>
      </w:pPr>
      <w:r>
        <w:rPr>
          <w:sz w:val="22"/>
        </w:rPr>
      </w:r>
    </w:p>
    <w:p>
      <w:pPr>
        <w:pStyle w:val="Normal"/>
        <w:jc w:val="both"/>
        <w:rPr>
          <w:sz w:val="22"/>
        </w:rPr>
      </w:pPr>
      <w:r>
        <w:rPr>
          <w:sz w:val="22"/>
        </w:rPr>
        <w:t>Attention: Gerald Nemec, Contract Administration</w:t>
      </w:r>
    </w:p>
    <w:p>
      <w:pPr>
        <w:pStyle w:val="Normal"/>
        <w:jc w:val="both"/>
        <w:rPr>
          <w:b/>
          <w:sz w:val="22"/>
        </w:rPr>
      </w:pPr>
      <w:r>
        <w:rPr>
          <w:b/>
          <w:sz w:val="22"/>
        </w:rPr>
      </w:r>
    </w:p>
    <w:p>
      <w:pPr>
        <w:pStyle w:val="BodyTextIndent"/>
        <w:tabs>
          <w:tab w:val="left" w:pos="720" w:leader="none"/>
        </w:tabs>
        <w:spacing w:lineRule="exact" w:line="300"/>
        <w:ind w:hanging="720" w:start="720" w:end="0"/>
        <w:rPr>
          <w:rFonts w:ascii="Times New Roman" w:hAnsi="Times New Roman" w:cs="Times New Roman"/>
        </w:rPr>
      </w:pPr>
      <w:r>
        <w:rPr>
          <w:rFonts w:cs="Times New Roman" w:ascii="Times New Roman" w:hAnsi="Times New Roman"/>
        </w:rPr>
        <w:t>RE:</w:t>
        <w:tab/>
        <w:t>DRAFT ENFOLIO MASTER FIRM PURCHASE/SALE AGREEMENT DATED FEBRUARY 1, 2001 BETWEEN EACH OF AEC MARKETING (USA) INC. (“AMUS”) AND AEC STORAGE AND HUB SERVICES INC. (“ASHSI”) AND ENRON NORTH AMERICA CORP. (“ENRON”)</w:t>
      </w:r>
    </w:p>
    <w:p>
      <w:pPr>
        <w:pStyle w:val="Normal"/>
        <w:jc w:val="both"/>
        <w:rPr>
          <w:rFonts w:ascii="Times New Roman" w:hAnsi="Times New Roman" w:cs="Times New Roman"/>
          <w:b/>
          <w:sz w:val="22"/>
        </w:rPr>
      </w:pPr>
      <w:r>
        <w:rPr>
          <w:rFonts w:cs="Times New Roman"/>
          <w:b/>
          <w:sz w:val="22"/>
        </w:rPr>
      </w:r>
    </w:p>
    <w:p>
      <w:pPr>
        <w:pStyle w:val="Normal"/>
        <w:pBdr>
          <w:top w:val="single" w:sz="4" w:space="1" w:color="000000"/>
        </w:pBdr>
        <w:jc w:val="both"/>
        <w:rPr>
          <w:b/>
          <w:sz w:val="22"/>
        </w:rPr>
      </w:pPr>
      <w:r>
        <w:rPr>
          <w:b/>
          <w:sz w:val="22"/>
        </w:rPr>
      </w:r>
    </w:p>
    <w:p>
      <w:pPr>
        <w:pStyle w:val="BodyText3"/>
        <w:spacing w:lineRule="exact" w:line="300" w:before="0" w:after="120"/>
        <w:rPr>
          <w:rFonts w:ascii="Times New Roman" w:hAnsi="Times New Roman" w:cs="Times New Roman"/>
        </w:rPr>
      </w:pPr>
      <w:r>
        <w:rPr>
          <w:rFonts w:cs="Times New Roman" w:ascii="Times New Roman" w:hAnsi="Times New Roman"/>
        </w:rPr>
        <w:t>We have completed our joint review of your draft ENFOLIO agreement and offer the following comments, subject of course to final approvals within AEC, prior to execution.  For ease of reference, I attach both a blackline and a clean copy.  I took the liberty of reformatting the agreement for editing purposes only.</w:t>
      </w:r>
    </w:p>
    <w:p>
      <w:pPr>
        <w:pStyle w:val="BodyText3"/>
        <w:spacing w:lineRule="exact" w:line="300" w:before="0" w:after="120"/>
        <w:rPr>
          <w:rFonts w:ascii="Times New Roman" w:hAnsi="Times New Roman" w:cs="Times New Roman"/>
        </w:rPr>
      </w:pPr>
      <w:r>
        <w:rPr>
          <w:rFonts w:cs="Times New Roman" w:ascii="Times New Roman" w:hAnsi="Times New Roman"/>
        </w:rPr>
        <w:t>Article 1</w:t>
        <w:tab/>
        <w:t>It is AEC’s preference to have agreements run Month to Month with no initial term.</w:t>
      </w:r>
    </w:p>
    <w:p>
      <w:pPr>
        <w:pStyle w:val="BodyText3"/>
        <w:spacing w:lineRule="exact" w:line="300" w:before="0" w:after="120"/>
        <w:rPr>
          <w:rFonts w:ascii="Times New Roman" w:hAnsi="Times New Roman" w:cs="Times New Roman"/>
        </w:rPr>
      </w:pPr>
      <w:r>
        <w:rPr>
          <w:rFonts w:cs="Times New Roman" w:ascii="Times New Roman" w:hAnsi="Times New Roman"/>
        </w:rPr>
        <w:t>Section 2.3</w:t>
        <w:tab/>
        <w:t>We added wording to provide for AEC’s recording procedures.</w:t>
      </w:r>
    </w:p>
    <w:p>
      <w:pPr>
        <w:pStyle w:val="BodyText3"/>
        <w:spacing w:lineRule="exact" w:line="300" w:before="0" w:after="120"/>
        <w:ind w:hanging="1440" w:start="1440" w:end="0"/>
        <w:rPr>
          <w:rFonts w:ascii="Times New Roman" w:hAnsi="Times New Roman" w:cs="Times New Roman"/>
        </w:rPr>
      </w:pPr>
      <w:r>
        <w:rPr>
          <w:rFonts w:cs="Times New Roman" w:ascii="Times New Roman" w:hAnsi="Times New Roman"/>
        </w:rPr>
        <w:t>Section 2.4</w:t>
        <w:tab/>
        <w:t>We added wording to allow that a conflicting confirmation sent by AEC shall be an objection in writing.  AEC faxes confirmations as a matter of course, and matches to incoming confirmations.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2.5</w:t>
        <w:tab/>
        <w:t>We added wording to provide for the case where a trader may not be named in the Transaction Tape, but the subsequent Confirmation recording the name is not objected to.</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Article 3</w:t>
        <w:tab/>
        <w:t>Not only are the parties obligated to schedule gas, but to acutally deliver / receive.</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ab/>
        <w:t>It is AEC’s preference to have Liquidated Damages as a defined term (see Appendix 1), and to include both the replacement cost and the administrative and operational cost, which should be set at $0.05 / MMBtu, to avoid being viewed as a penalty.</w:t>
      </w:r>
    </w:p>
    <w:p>
      <w:pPr>
        <w:pStyle w:val="BodyText3"/>
        <w:pBdr>
          <w:top w:val="nil"/>
        </w:pBdr>
        <w:spacing w:lineRule="exact" w:line="300" w:before="0" w:after="120"/>
        <w:ind w:hanging="1440" w:start="1440" w:end="0"/>
        <w:jc w:val="start"/>
        <w:rPr/>
      </w:pPr>
      <w:r>
        <w:rPr>
          <w:rFonts w:cs="Times New Roman" w:ascii="Times New Roman" w:hAnsi="Times New Roman"/>
        </w:rPr>
        <w:t>*****</w:t>
        <w:tab/>
      </w:r>
      <w:r>
        <w:rPr>
          <w:rFonts w:cs="Times New Roman" w:ascii="Times New Roman" w:hAnsi="Times New Roman"/>
          <w:b/>
        </w:rPr>
        <w:t>NOTE:  THIS ITEM IS STILL UNDER REVIEW BY AEC</w:t>
      </w:r>
      <w:r>
        <w:rPr>
          <w:rFonts w:cs="Times New Roman" w:ascii="Times New Roman" w:hAnsi="Times New Roman"/>
        </w:rPr>
        <w:br/>
        <w:t>Should either party decide not to recommence delivery / receipt, it should apply to the affected Transaction only.  Please confirm that the Liquidated Damages owed by the non-performing party would cease to accrue upon receipt of the notice advising that scheduling will not be recommenced.</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3.5</w:t>
        <w:tab/>
        <w:t>Netting should apply to same currency amounts, and should be an obligation.</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Section 4.1(i) and (ii)</w:t>
        <w:tab/>
        <w:t>We changed “except as provided in Section 8.4” to “subject to the provisions of Section 8.4”, since 8.4 deals with survival of rights / obligations.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Section 4.1(ii)</w:t>
        <w:tab/>
        <w:t>Upon the occurrence of a Triggering Event the Notifying Party should have the right to withhold payment and/or suspend performance under all Transactions.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ab/>
        <w:t>In determining the Termination Payment, the differences between (a) and (b) need to be brought to present value.  We added a definition of the Present Value Discount Rate to be applied for that purpose.</w:t>
      </w:r>
    </w:p>
    <w:p>
      <w:pPr>
        <w:pStyle w:val="BodyText3"/>
        <w:pBdr>
          <w:top w:val="nil"/>
        </w:pBdr>
        <w:spacing w:lineRule="exact" w:line="300" w:before="0" w:after="120"/>
        <w:ind w:start="1440" w:end="0"/>
        <w:rPr>
          <w:rFonts w:ascii="Times New Roman" w:hAnsi="Times New Roman" w:cs="Times New Roman"/>
        </w:rPr>
      </w:pPr>
      <w:r>
        <w:rPr>
          <w:rFonts w:cs="Times New Roman" w:ascii="Times New Roman" w:hAnsi="Times New Roman"/>
        </w:rPr>
        <w:t>In Enron’s final change to 4.1, we have altered the wording since set off will only occur under agreements between the entities in the individual contracts.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Subsection 4.2(ix)</w:t>
        <w:tab/>
        <w:t>The dollar limits set must be reciprocal.</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Subsection 4.2(x)</w:t>
        <w:tab/>
        <w:t>Deleted since we feel this clause does not belong here.  If a party is going to take steps under a guaranty there will already have been a Triggering Event under the ENFOLIO.</w:t>
      </w:r>
    </w:p>
    <w:p>
      <w:pPr>
        <w:pStyle w:val="BodyText3"/>
        <w:pBdr>
          <w:top w:val="nil"/>
        </w:pBdr>
        <w:spacing w:lineRule="exact" w:line="300" w:before="0" w:after="120"/>
        <w:ind w:start="1440" w:end="0"/>
        <w:rPr>
          <w:rFonts w:ascii="Times New Roman" w:hAnsi="Times New Roman" w:cs="Times New Roman"/>
        </w:rPr>
      </w:pPr>
      <w:r>
        <w:rPr>
          <w:rFonts w:cs="Times New Roman" w:ascii="Times New Roman" w:hAnsi="Times New Roman"/>
        </w:rPr>
        <w:t>Representations and warranties would only affect guarantor’s failure to pay.</w:t>
      </w:r>
    </w:p>
    <w:p>
      <w:pPr>
        <w:pStyle w:val="BodyText3"/>
        <w:pBdr>
          <w:top w:val="nil"/>
        </w:pBdr>
        <w:spacing w:lineRule="exact" w:line="300" w:before="0" w:after="120"/>
        <w:ind w:hanging="1440" w:start="1440" w:end="0"/>
        <w:rPr/>
      </w:pPr>
      <w:r>
        <w:rPr>
          <w:rFonts w:cs="Times New Roman" w:ascii="Times New Roman" w:hAnsi="Times New Roman"/>
        </w:rPr>
        <w:t>Section 4.6</w:t>
        <w:tab/>
        <w:t>Under our credit arrangements, a full three Business Days’ notice is specified as being required to</w:t>
      </w:r>
      <w:r>
        <w:rPr>
          <w:rFonts w:cs="Times New Roman" w:ascii="Times New Roman" w:hAnsi="Times New Roman"/>
          <w:sz w:val="20"/>
        </w:rPr>
        <w:t xml:space="preserve"> </w:t>
      </w:r>
      <w:r>
        <w:rPr>
          <w:rFonts w:cs="Times New Roman" w:ascii="Times New Roman" w:hAnsi="Times New Roman"/>
        </w:rPr>
        <w:t>post a letter of credit; therefor we use five days in our contracts.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5.1</w:t>
        <w:tab/>
        <w:t>We altered the wording to provide for initial notice being given by telephone or fax as seems to be the current norm.  It is AEC’s view that a true and valid event of Force Majeure cannot be limited as to duration, or be subject to an obligation to perform after said term.  If Enron prefers to have the option to early terminate a deal if force majeure continues for a 60 day term, the provisions for same should be included in Section 4.  AEC has input additional exclusions at the end of the clause.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5.2</w:t>
        <w:tab/>
        <w:t>We added to provide for pro-rata receipt and delivery.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6.1</w:t>
        <w:tab/>
        <w:t>We deleted the word “sold” for clarity.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6.2</w:t>
        <w:tab/>
        <w:t>We have limited the early termination right to the Tax-Affected transactions only.</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7.1</w:t>
        <w:tab/>
        <w:t>We adjusted the wording to include not only title to, but possession of and risk of loss of the Gas.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8.2</w:t>
        <w:tab/>
        <w:t>We have changed all contract references of “permitted successors and assigns” to “respective successors and permitted assigns”.  We added a provision that the assigned party have a credit rating equal to or better than the assignor.  We also added a clause providing that any assignee’s rights are subject to the other Party’s rights and defenses.</w:t>
      </w:r>
    </w:p>
    <w:p>
      <w:pPr>
        <w:pStyle w:val="BodyText3"/>
        <w:pBdr>
          <w:top w:val="nil"/>
        </w:pBdr>
        <w:spacing w:lineRule="exact" w:line="300" w:before="0" w:after="120"/>
        <w:ind w:hanging="1440" w:start="1440" w:end="0"/>
        <w:jc w:val="start"/>
        <w:rPr/>
      </w:pPr>
      <w:r>
        <w:rPr>
          <w:rFonts w:cs="Times New Roman" w:ascii="Times New Roman" w:hAnsi="Times New Roman"/>
        </w:rPr>
        <w:t>Section 8.3</w:t>
        <w:tab/>
      </w:r>
      <w:r>
        <w:rPr>
          <w:rFonts w:cs="Times New Roman" w:ascii="Times New Roman" w:hAnsi="Times New Roman"/>
          <w:b/>
        </w:rPr>
        <w:t>NOTE:  THIS ITEM IS STILL UNDER REVIEW BY AEC</w:t>
        <w:br/>
      </w:r>
      <w:r>
        <w:rPr>
          <w:rFonts w:cs="Times New Roman" w:ascii="Times New Roman" w:hAnsi="Times New Roman"/>
        </w:rPr>
        <w:t>See the bolded sentence case text at the end of this section.  Though we agree with the concept behind this wording, we do not understand how the calculations would be made, especially with regard to early termination.  The Liquidated Damages calculation works if you stagger your replacement transactions and use actual costs / prices, and if none are available, you default to the Spot Price for the day of default.  Please provide a couple of example situations and calculations.  I will forward that information to trading, legal and credit.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8.5</w:t>
        <w:tab/>
        <w:t>We agree to be governed by Texas law but must waive all rights to a jury trial.</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8.8</w:t>
        <w:tab/>
        <w:t>Any disclosure of contract terms of any kind must be on a no-name basis.</w:t>
      </w:r>
    </w:p>
    <w:p>
      <w:pPr>
        <w:pStyle w:val="BodyText3"/>
        <w:pBdr>
          <w:top w:val="nil"/>
        </w:pBdr>
        <w:spacing w:lineRule="exact" w:line="300" w:before="0" w:after="120"/>
        <w:jc w:val="start"/>
        <w:rPr>
          <w:rFonts w:ascii="Times New Roman" w:hAnsi="Times New Roman" w:cs="Times New Roman"/>
        </w:rPr>
      </w:pPr>
      <w:r>
        <w:rPr>
          <w:rFonts w:cs="Times New Roman" w:ascii="Times New Roman" w:hAnsi="Times New Roman"/>
        </w:rPr>
        <w:t>Appendix (1)</w:t>
        <w:tab/>
        <w:t>Definitions:</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Affiliate:  We expanded the bracketed definition of “person”.</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Confirmation:  We expanded the definition to include confirms issued prior to execution of this Agreement.</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Confirm Deadline:  AEC prefers a deadline of 9 am CT on the third Business Day following receipt.</w:t>
      </w:r>
    </w:p>
    <w:p>
      <w:pPr>
        <w:pStyle w:val="BodyText3"/>
        <w:numPr>
          <w:ilvl w:val="0"/>
          <w:numId w:val="8"/>
        </w:numPr>
        <w:pBdr>
          <w:top w:val="nil"/>
        </w:pBdr>
        <w:tabs>
          <w:tab w:val="clear" w:pos="720"/>
          <w:tab w:val="left" w:pos="2070" w:leader="none"/>
        </w:tabs>
        <w:spacing w:lineRule="exact" w:line="300" w:before="0" w:after="120"/>
        <w:jc w:val="start"/>
        <w:rPr>
          <w:rFonts w:ascii="Times New Roman" w:hAnsi="Times New Roman" w:cs="Times New Roman"/>
        </w:rPr>
      </w:pPr>
      <w:r>
        <w:rPr>
          <w:rFonts w:cs="Times New Roman" w:ascii="Times New Roman" w:hAnsi="Times New Roman"/>
        </w:rPr>
        <w:t>Contract Price:  We added “agreed upon”.</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Daily Contract Quantity:  The obligation is not only to Schedule, but also to purchase / sell.</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Day:  Business Day changed to include Alberta holidays since we are located in Calgary.</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Force Majeure:  We have used the expanded version comparable to GISB, and now GasEDI in Canada, to provide both marketing coverage, and coverage where we are doing business in the field.</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Guarantors:  We added wording to allow the parties to agree to other guarantors.</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Liquidated Damages:  We added this definition for calculations under Section 3.</w:t>
      </w:r>
    </w:p>
    <w:p>
      <w:pPr>
        <w:pStyle w:val="BodyText3"/>
        <w:numPr>
          <w:ilvl w:val="0"/>
          <w:numId w:val="8"/>
        </w:numPr>
        <w:pBdr>
          <w:top w:val="nil"/>
        </w:pBdr>
        <w:tabs>
          <w:tab w:val="clear" w:pos="720"/>
          <w:tab w:val="left" w:pos="360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Replacement Price Differential:  Changed to allow for the alternate sale of all or a portion of the shortfall quantity, and use of the actual cost / price, or the Spot Price for the calculations.</w:t>
      </w:r>
    </w:p>
    <w:p>
      <w:pPr>
        <w:pStyle w:val="BodyText3"/>
        <w:numPr>
          <w:ilvl w:val="0"/>
          <w:numId w:val="8"/>
        </w:numPr>
        <w:pBdr>
          <w:top w:val="nil"/>
        </w:pBdr>
        <w:tabs>
          <w:tab w:val="clear" w:pos="720"/>
          <w:tab w:val="left" w:pos="2880" w:leader="none"/>
          <w:tab w:val="left" w:pos="432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Transaction Agreement:  Again the definition is expanded to include forms issued prior to execution of this Agreement.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Representations and Warranties:</w:t>
      </w:r>
    </w:p>
    <w:p>
      <w:pPr>
        <w:pStyle w:val="BodyText3"/>
        <w:numPr>
          <w:ilvl w:val="0"/>
          <w:numId w:val="2"/>
        </w:numPr>
        <w:pBdr>
          <w:top w:val="nil"/>
        </w:pBdr>
        <w:spacing w:lineRule="exact" w:line="300" w:before="0" w:after="120"/>
        <w:rPr>
          <w:rFonts w:ascii="Times New Roman" w:hAnsi="Times New Roman" w:cs="Times New Roman"/>
        </w:rPr>
      </w:pPr>
      <w:r>
        <w:rPr>
          <w:rFonts w:cs="Times New Roman" w:ascii="Times New Roman" w:hAnsi="Times New Roman"/>
        </w:rPr>
        <w:t>In (vi) we struck the first clause of the sentence pertaining to the dollar value of assets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Operations and Delivery</w:t>
      </w:r>
    </w:p>
    <w:p>
      <w:pPr>
        <w:pStyle w:val="BodyText3"/>
        <w:numPr>
          <w:ilvl w:val="0"/>
          <w:numId w:val="5"/>
        </w:numPr>
        <w:pBdr>
          <w:top w:val="nil"/>
        </w:pBdr>
        <w:spacing w:lineRule="exact" w:line="300" w:before="0" w:after="120"/>
        <w:rPr>
          <w:rFonts w:ascii="Times New Roman" w:hAnsi="Times New Roman" w:cs="Times New Roman"/>
        </w:rPr>
      </w:pPr>
      <w:r>
        <w:rPr>
          <w:rFonts w:cs="Times New Roman" w:ascii="Times New Roman" w:hAnsi="Times New Roman"/>
        </w:rPr>
        <w:t>Nomination deadlines should match the Transporter’s.  Notice should be given either by phone or fax as seems to be the industry norm.</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Transportation</w:t>
      </w:r>
    </w:p>
    <w:p>
      <w:pPr>
        <w:pStyle w:val="BodyText3"/>
        <w:numPr>
          <w:ilvl w:val="0"/>
          <w:numId w:val="11"/>
        </w:numPr>
        <w:pBdr>
          <w:top w:val="nil"/>
        </w:pBdr>
        <w:spacing w:lineRule="exact" w:line="300" w:before="0" w:after="120"/>
        <w:rPr>
          <w:rFonts w:ascii="Times New Roman" w:hAnsi="Times New Roman" w:cs="Times New Roman"/>
        </w:rPr>
      </w:pPr>
      <w:r>
        <w:rPr>
          <w:rFonts w:cs="Times New Roman" w:ascii="Times New Roman" w:hAnsi="Times New Roman"/>
        </w:rPr>
        <w:t>Not only do the parties obtain transport, but must maintain and pay for same.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Operational Flow Orders</w:t>
      </w:r>
    </w:p>
    <w:p>
      <w:pPr>
        <w:pStyle w:val="BodyText3"/>
        <w:numPr>
          <w:ilvl w:val="0"/>
          <w:numId w:val="7"/>
        </w:numPr>
        <w:pBdr>
          <w:top w:val="nil"/>
        </w:pBdr>
        <w:spacing w:lineRule="exact" w:line="300" w:before="0" w:after="120"/>
        <w:rPr>
          <w:rFonts w:ascii="Times New Roman" w:hAnsi="Times New Roman" w:cs="Times New Roman"/>
        </w:rPr>
      </w:pPr>
      <w:r>
        <w:rPr>
          <w:rFonts w:cs="Times New Roman" w:ascii="Times New Roman" w:hAnsi="Times New Roman"/>
        </w:rPr>
        <w:t>This section was deleted.  We understand that OFO’s, which can arise due to a party having too much or too little gas in the system, is a gas management matter within the discretion of a particular party.  The business to be conducted with Enron North America Corp. will be Firm transactions under this ENFOLIO agreement.  Therefore, each party must manage its own business to ensure that the quantity of gas entering the system for its account is matched to the quantity of gas leaving the system and should not have the ability to pass on OFO implications.  Any imbalance caused by failure to receive or deliver is already addressed in Section 7.2 of the Agreement.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Matters  Billing, Invoice Date, Charges and Payment</w:t>
      </w:r>
    </w:p>
    <w:p>
      <w:pPr>
        <w:pStyle w:val="BodyText3"/>
        <w:numPr>
          <w:ilvl w:val="0"/>
          <w:numId w:val="3"/>
        </w:numPr>
        <w:pBdr>
          <w:top w:val="nil"/>
        </w:pBdr>
        <w:spacing w:lineRule="exact" w:line="300" w:before="0" w:after="120"/>
        <w:rPr>
          <w:rFonts w:ascii="Times New Roman" w:hAnsi="Times New Roman" w:cs="Times New Roman"/>
        </w:rPr>
      </w:pPr>
      <w:r>
        <w:rPr>
          <w:rFonts w:cs="Times New Roman" w:ascii="Times New Roman" w:hAnsi="Times New Roman"/>
        </w:rPr>
        <w:t>AEC prefers to have the Invoice Date set prior to the 15</w:t>
      </w:r>
      <w:r>
        <w:rPr>
          <w:rFonts w:cs="Times New Roman" w:ascii="Times New Roman" w:hAnsi="Times New Roman"/>
          <w:vertAlign w:val="superscript"/>
        </w:rPr>
        <w:t>th</w:t>
      </w:r>
      <w:r>
        <w:rPr>
          <w:rFonts w:cs="Times New Roman" w:ascii="Times New Roman" w:hAnsi="Times New Roman"/>
        </w:rPr>
        <w:t xml:space="preserve"> in the contracts, even though our invoices are usually out by the 10</w:t>
      </w:r>
      <w:r>
        <w:rPr>
          <w:rFonts w:cs="Times New Roman" w:ascii="Times New Roman" w:hAnsi="Times New Roman"/>
          <w:vertAlign w:val="superscript"/>
        </w:rPr>
        <w:t>th</w:t>
      </w:r>
      <w:r>
        <w:rPr>
          <w:rFonts w:cs="Times New Roman" w:ascii="Times New Roman" w:hAnsi="Times New Roman"/>
        </w:rPr>
        <w:t xml:space="preserve"> of each month.  The parties should use reasonable efforts to have transporter statements available by the 15</w:t>
      </w:r>
      <w:r>
        <w:rPr>
          <w:rFonts w:cs="Times New Roman" w:ascii="Times New Roman" w:hAnsi="Times New Roman"/>
          <w:vertAlign w:val="superscript"/>
        </w:rPr>
        <w:t>th</w:t>
      </w:r>
      <w:r>
        <w:rPr>
          <w:rFonts w:cs="Times New Roman" w:ascii="Times New Roman" w:hAnsi="Times New Roman"/>
        </w:rPr>
        <w:t>, if applicable.  Interest is payable on undisputed amounts.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Audit Rights</w:t>
      </w:r>
    </w:p>
    <w:p>
      <w:pPr>
        <w:pStyle w:val="BodyText3"/>
        <w:numPr>
          <w:ilvl w:val="0"/>
          <w:numId w:val="9"/>
        </w:numPr>
        <w:pBdr>
          <w:top w:val="nil"/>
        </w:pBdr>
        <w:spacing w:lineRule="exact" w:line="300" w:before="0" w:after="120"/>
        <w:rPr>
          <w:rFonts w:ascii="Times New Roman" w:hAnsi="Times New Roman" w:cs="Times New Roman"/>
        </w:rPr>
      </w:pPr>
      <w:r>
        <w:rPr>
          <w:rFonts w:cs="Times New Roman" w:ascii="Times New Roman" w:hAnsi="Times New Roman"/>
        </w:rPr>
        <w:t>The audit should be paid for by the auditing party.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Information</w:t>
      </w:r>
    </w:p>
    <w:p>
      <w:pPr>
        <w:pStyle w:val="BodyText3"/>
        <w:numPr>
          <w:ilvl w:val="0"/>
          <w:numId w:val="6"/>
        </w:numPr>
        <w:pBdr>
          <w:top w:val="nil"/>
        </w:pBdr>
        <w:spacing w:lineRule="exact" w:line="300" w:before="0" w:after="120"/>
        <w:rPr>
          <w:rFonts w:ascii="Times New Roman" w:hAnsi="Times New Roman" w:cs="Times New Roman"/>
        </w:rPr>
      </w:pPr>
      <w:r>
        <w:rPr>
          <w:rFonts w:cs="Times New Roman" w:ascii="Times New Roman" w:hAnsi="Times New Roman"/>
        </w:rPr>
        <w:t>See the change in lines 6 and 7.  The Customer should be the one to deliver whatever reports are necessary under this agreement since the guarantor is not a party.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Alternate Price Redetermination</w:t>
      </w:r>
    </w:p>
    <w:p>
      <w:pPr>
        <w:pStyle w:val="BodyText3"/>
        <w:numPr>
          <w:ilvl w:val="0"/>
          <w:numId w:val="15"/>
        </w:numPr>
        <w:pBdr>
          <w:top w:val="nil"/>
        </w:pBdr>
        <w:spacing w:lineRule="exact" w:line="300" w:before="0" w:after="120"/>
        <w:rPr>
          <w:rFonts w:ascii="Times New Roman" w:hAnsi="Times New Roman" w:cs="Times New Roman"/>
        </w:rPr>
      </w:pPr>
      <w:r>
        <w:rPr>
          <w:rFonts w:cs="Times New Roman" w:ascii="Times New Roman" w:hAnsi="Times New Roman"/>
        </w:rPr>
        <w:t>Provided for the deemed Alternate Price in the event either party does not submit a list of alternates for consideration.</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Effect of Waiver</w:t>
      </w:r>
    </w:p>
    <w:p>
      <w:pPr>
        <w:pStyle w:val="BodyText3"/>
        <w:numPr>
          <w:ilvl w:val="0"/>
          <w:numId w:val="13"/>
        </w:numPr>
        <w:pBdr>
          <w:top w:val="nil"/>
        </w:pBdr>
        <w:spacing w:lineRule="exact" w:line="300" w:before="0" w:after="120"/>
        <w:rPr>
          <w:rFonts w:ascii="Times New Roman" w:hAnsi="Times New Roman" w:cs="Times New Roman"/>
        </w:rPr>
      </w:pPr>
      <w:r>
        <w:rPr>
          <w:rFonts w:cs="Times New Roman" w:ascii="Times New Roman" w:hAnsi="Times New Roman"/>
        </w:rPr>
        <w:t>Any waiver or consent should not be construed as a future waiver or consent.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Arbitration</w:t>
      </w:r>
    </w:p>
    <w:p>
      <w:pPr>
        <w:pStyle w:val="BodyText3"/>
        <w:numPr>
          <w:ilvl w:val="0"/>
          <w:numId w:val="12"/>
        </w:numPr>
        <w:pBdr>
          <w:top w:val="nil"/>
        </w:pBdr>
        <w:spacing w:lineRule="exact" w:line="300" w:before="0" w:after="120"/>
        <w:rPr>
          <w:rFonts w:ascii="Times New Roman" w:hAnsi="Times New Roman" w:cs="Times New Roman"/>
        </w:rPr>
      </w:pPr>
      <w:r>
        <w:rPr>
          <w:rFonts w:cs="Times New Roman" w:ascii="Times New Roman" w:hAnsi="Times New Roman"/>
        </w:rPr>
        <w:t>With the provisions for Liquidated Damages, Early Termination and payments, and for imbalance charges, the issues that might arise between the parties will likely be more legalistic than commercial in nature and therefore best dealt with by the courts.  It is therefore AEC’s preference to either remain silent on the issue or to use a very limited clause.  See the alternate wording proposed.</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“B”</w:t>
      </w:r>
    </w:p>
    <w:p>
      <w:pPr>
        <w:pStyle w:val="BodyText3"/>
        <w:numPr>
          <w:ilvl w:val="0"/>
          <w:numId w:val="16"/>
        </w:numPr>
        <w:pBdr>
          <w:top w:val="nil"/>
        </w:pBdr>
        <w:spacing w:lineRule="exact" w:line="300" w:before="0" w:after="120"/>
        <w:rPr>
          <w:rFonts w:ascii="Times New Roman" w:hAnsi="Times New Roman" w:cs="Times New Roman"/>
        </w:rPr>
      </w:pPr>
      <w:r>
        <w:rPr>
          <w:rFonts w:cs="Times New Roman" w:ascii="Times New Roman" w:hAnsi="Times New Roman"/>
        </w:rPr>
        <w:t>AEC does not enter into EFP Transactions.  Perhaps we can delete.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C</w:t>
      </w:r>
    </w:p>
    <w:p>
      <w:pPr>
        <w:pStyle w:val="BodyText3"/>
        <w:numPr>
          <w:ilvl w:val="0"/>
          <w:numId w:val="14"/>
        </w:numPr>
        <w:pBdr>
          <w:top w:val="nil"/>
        </w:pBdr>
        <w:spacing w:lineRule="exact" w:line="300" w:before="0" w:after="120"/>
        <w:rPr>
          <w:rFonts w:ascii="Times New Roman" w:hAnsi="Times New Roman" w:cs="Times New Roman"/>
        </w:rPr>
      </w:pPr>
      <w:r>
        <w:rPr>
          <w:rFonts w:cs="Times New Roman" w:ascii="Times New Roman" w:hAnsi="Times New Roman"/>
        </w:rPr>
        <w:t>Payment Guaranty:  AEC’s preference is to have a definite term to the guarantee, and that the guarantee continues in effect until all transactions entered into prior to the termination of the guarantee are fully performed.  Guarantor should be entitled to all the rights and benefits of the Contract Party if it assumes any obligation.</w:t>
      </w:r>
    </w:p>
    <w:p>
      <w:pPr>
        <w:pStyle w:val="BodyText3"/>
        <w:numPr>
          <w:ilvl w:val="0"/>
          <w:numId w:val="4"/>
        </w:numPr>
        <w:pBdr>
          <w:top w:val="nil"/>
        </w:pBdr>
        <w:spacing w:lineRule="exact" w:line="300" w:before="0" w:after="120"/>
        <w:rPr>
          <w:rFonts w:ascii="Times New Roman" w:hAnsi="Times New Roman" w:cs="Times New Roman"/>
        </w:rPr>
      </w:pPr>
      <w:r>
        <w:rPr>
          <w:rFonts w:cs="Times New Roman" w:ascii="Times New Roman" w:hAnsi="Times New Roman"/>
        </w:rPr>
        <w:t>Defenses:  The guarantor should be subrogated to the rights of the counterparty against the Contract Party, if guarantor pays any obligation.</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D</w:t>
      </w:r>
    </w:p>
    <w:p>
      <w:pPr>
        <w:pStyle w:val="BodyText3"/>
        <w:numPr>
          <w:ilvl w:val="0"/>
          <w:numId w:val="10"/>
        </w:numPr>
        <w:pBdr>
          <w:top w:val="nil"/>
        </w:pBdr>
        <w:spacing w:lineRule="exact" w:line="300" w:before="0" w:after="120"/>
        <w:rPr>
          <w:rFonts w:ascii="Times New Roman" w:hAnsi="Times New Roman" w:cs="Times New Roman"/>
        </w:rPr>
      </w:pPr>
      <w:r>
        <w:rPr>
          <w:rFonts w:cs="Times New Roman" w:ascii="Times New Roman" w:hAnsi="Times New Roman"/>
        </w:rPr>
        <w:t>It is AEC’s preference to attach our own form of guarantee.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r>
    </w:p>
    <w:p>
      <w:pPr>
        <w:pStyle w:val="BodyText2"/>
        <w:spacing w:lineRule="exact" w:line="300"/>
        <w:ind w:end="58"/>
        <w:rPr>
          <w:rFonts w:ascii="Times New Roman" w:hAnsi="Times New Roman" w:cs="Times New Roman"/>
        </w:rPr>
      </w:pPr>
      <w:r>
        <w:rPr>
          <w:rFonts w:cs="Times New Roman" w:ascii="Times New Roman" w:hAnsi="Times New Roman"/>
        </w:rPr>
        <w:t>Thank you for you assistance in getting these agreements in place.  We look forward to doing business with you.</w:t>
      </w:r>
    </w:p>
    <w:p>
      <w:pPr>
        <w:pStyle w:val="Normal"/>
        <w:tabs>
          <w:tab w:val="clear" w:pos="720"/>
          <w:tab w:val="left" w:pos="1440" w:leader="none"/>
        </w:tabs>
        <w:ind w:hanging="1440" w:start="1440" w:end="54"/>
        <w:jc w:val="both"/>
        <w:rPr>
          <w:rFonts w:ascii="Times New Roman" w:hAnsi="Times New Roman" w:cs="Times New Roman"/>
          <w:sz w:val="22"/>
        </w:rPr>
      </w:pPr>
      <w:r>
        <w:rPr>
          <w:rFonts w:cs="Times New Roman"/>
          <w:sz w:val="22"/>
        </w:rPr>
      </w:r>
    </w:p>
    <w:p>
      <w:pPr>
        <w:pStyle w:val="Normal"/>
        <w:tabs>
          <w:tab w:val="clear" w:pos="720"/>
          <w:tab w:val="left" w:pos="1440" w:leader="none"/>
        </w:tabs>
        <w:ind w:hanging="1440" w:start="1440" w:end="54"/>
        <w:jc w:val="both"/>
        <w:rPr>
          <w:sz w:val="22"/>
        </w:rPr>
      </w:pPr>
      <w:r>
        <w:rPr>
          <w:sz w:val="22"/>
        </w:rPr>
        <w:t>Yours truly,</w:t>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AEC Marketing (USA) Inc.</w:t>
        <w:tab/>
        <w:t>AEC Storage and Hub Services Inc.</w:t>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Ann M. Crawford</w:t>
        <w:tab/>
        <w:t>Daniela Horth</w:t>
      </w:r>
    </w:p>
    <w:p>
      <w:pPr>
        <w:pStyle w:val="Normal"/>
        <w:tabs>
          <w:tab w:val="clear" w:pos="720"/>
          <w:tab w:val="left" w:pos="1440" w:leader="none"/>
          <w:tab w:val="left" w:pos="5040" w:leader="none"/>
        </w:tabs>
        <w:ind w:hanging="1440" w:start="1440" w:end="54"/>
        <w:jc w:val="both"/>
        <w:rPr>
          <w:sz w:val="22"/>
        </w:rPr>
      </w:pPr>
      <w:r>
        <w:rPr>
          <w:sz w:val="22"/>
        </w:rPr>
        <w:t>Gas Marketing,</w:t>
        <w:tab/>
        <w:tab/>
        <w:t>Contract Administrator</w:t>
      </w:r>
    </w:p>
    <w:p>
      <w:pPr>
        <w:pStyle w:val="Heading7"/>
        <w:rPr>
          <w:rFonts w:ascii="Times New Roman" w:hAnsi="Times New Roman" w:cs="Times New Roman"/>
          <w:b w:val="false"/>
        </w:rPr>
      </w:pPr>
      <w:r>
        <w:rPr>
          <w:rFonts w:cs="Times New Roman" w:ascii="Times New Roman" w:hAnsi="Times New Roman"/>
          <w:b w:val="false"/>
        </w:rPr>
        <w:t>Sr. Contract Administrator</w:t>
      </w:r>
    </w:p>
    <w:p>
      <w:pPr>
        <w:pStyle w:val="Normal"/>
        <w:tabs>
          <w:tab w:val="clear" w:pos="720"/>
          <w:tab w:val="left" w:pos="1440" w:leader="none"/>
        </w:tabs>
        <w:ind w:hanging="1440" w:start="1440" w:end="54"/>
        <w:jc w:val="both"/>
        <w:rPr>
          <w:rFonts w:ascii="Times New Roman" w:hAnsi="Times New Roman" w:cs="Times New Roman"/>
          <w:b/>
          <w:sz w:val="22"/>
        </w:rPr>
      </w:pPr>
      <w:r>
        <w:rPr>
          <w:rFonts w:cs="Times New Roman"/>
          <w:b/>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16"/>
        </w:rPr>
      </w:pPr>
      <w:r>
        <w:rPr>
          <w:sz w:val="16"/>
        </w:rPr>
        <w:t>GPSA – AMUS – ENRN 3.2</w:t>
      </w:r>
    </w:p>
    <w:p>
      <w:pPr>
        <w:pStyle w:val="Normal"/>
        <w:tabs>
          <w:tab w:val="clear" w:pos="720"/>
          <w:tab w:val="left" w:pos="1440" w:leader="none"/>
        </w:tabs>
        <w:ind w:hanging="1440" w:start="1440" w:end="54"/>
        <w:jc w:val="both"/>
        <w:rPr>
          <w:sz w:val="16"/>
        </w:rPr>
      </w:pPr>
      <w:r>
        <w:rPr>
          <w:sz w:val="16"/>
        </w:rPr>
      </w:r>
    </w:p>
    <w:p>
      <w:pPr>
        <w:pStyle w:val="Normal"/>
        <w:tabs>
          <w:tab w:val="clear" w:pos="720"/>
          <w:tab w:val="left" w:pos="1440" w:leader="none"/>
        </w:tabs>
        <w:ind w:hanging="1440" w:start="1440" w:end="54"/>
        <w:jc w:val="both"/>
        <w:rPr>
          <w:sz w:val="16"/>
        </w:rPr>
      </w:pPr>
      <w:r>
        <w:rPr>
          <w:sz w:val="16"/>
        </w:rPr>
        <w:t>Att.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entury Schoolbook">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1"/>
      <w:numFmt w:val="bullet"/>
      <w:lvlText w:val=""/>
      <w:lvlJc w:val="start"/>
      <w:pPr>
        <w:tabs>
          <w:tab w:val="num" w:pos="360"/>
        </w:tabs>
        <w:ind w:start="360" w:hanging="360"/>
      </w:pPr>
      <w:rPr>
        <w:rFonts w:ascii="Symbol" w:hAnsi="Symbol" w:cs="Symbol" w:hint="default"/>
        <w:sz w:val="20"/>
      </w:rPr>
    </w:lvl>
  </w:abstractNum>
  <w:abstractNum w:abstractNumId="13">
    <w:lvl w:ilvl="0">
      <w:start w:val="1"/>
      <w:numFmt w:val="bullet"/>
      <w:lvlText w:val=""/>
      <w:lvlJc w:val="start"/>
      <w:pPr>
        <w:tabs>
          <w:tab w:val="num" w:pos="360"/>
        </w:tabs>
        <w:ind w:start="360" w:hanging="360"/>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sz w:val="20"/>
      </w:rPr>
    </w:lvl>
  </w:abstractNum>
  <w:abstractNum w:abstractNumId="15">
    <w:lvl w:ilvl="0">
      <w:start w:val="1"/>
      <w:numFmt w:val="bullet"/>
      <w:lvlText w:val=""/>
      <w:lvlJc w:val="start"/>
      <w:pPr>
        <w:tabs>
          <w:tab w:val="num" w:pos="360"/>
        </w:tabs>
        <w:ind w:start="360" w:hanging="360"/>
      </w:pPr>
      <w:rPr>
        <w:rFonts w:ascii="Symbol" w:hAnsi="Symbol" w:cs="Symbol" w:hint="default"/>
        <w:sz w:val="20"/>
      </w:rPr>
    </w:lvl>
  </w:abstractNum>
  <w:abstractNum w:abstractNumId="16">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1440" w:start="1440" w:end="0"/>
      <w:jc w:val="both"/>
      <w:outlineLvl w:val="1"/>
    </w:pPr>
    <w:rPr>
      <w:rFonts w:ascii="Bookman Old Style" w:hAnsi="Bookman Old Style" w:cs="Bookman Old Style"/>
      <w:b/>
      <w:sz w:val="22"/>
      <w:u w:val="single"/>
    </w:rPr>
  </w:style>
  <w:style w:type="paragraph" w:styleId="Heading3">
    <w:name w:val="heading 3"/>
    <w:basedOn w:val="Normal"/>
    <w:next w:val="Normal"/>
    <w:qFormat/>
    <w:pPr>
      <w:keepNext w:val="true"/>
      <w:numPr>
        <w:ilvl w:val="2"/>
        <w:numId w:val="1"/>
      </w:numPr>
      <w:outlineLvl w:val="2"/>
    </w:pPr>
    <w:rPr>
      <w:rFonts w:ascii="Bookman Old Style" w:hAnsi="Bookman Old Style" w:cs="Bookman Old Style"/>
      <w:i/>
      <w:sz w:val="22"/>
    </w:rPr>
  </w:style>
  <w:style w:type="paragraph" w:styleId="Heading4">
    <w:name w:val="heading 4"/>
    <w:basedOn w:val="Normal"/>
    <w:next w:val="Normal"/>
    <w:qFormat/>
    <w:pPr>
      <w:keepNext w:val="true"/>
      <w:numPr>
        <w:ilvl w:val="3"/>
        <w:numId w:val="1"/>
      </w:numPr>
      <w:jc w:val="both"/>
      <w:outlineLvl w:val="3"/>
    </w:pPr>
    <w:rPr>
      <w:rFonts w:ascii="Bookman Old Style" w:hAnsi="Bookman Old Style" w:cs="Bookman Old Style"/>
      <w:b/>
      <w:i/>
      <w:sz w:val="22"/>
    </w:rPr>
  </w:style>
  <w:style w:type="paragraph" w:styleId="Heading5">
    <w:name w:val="heading 5"/>
    <w:basedOn w:val="Normal"/>
    <w:next w:val="Normal"/>
    <w:qFormat/>
    <w:pPr>
      <w:keepNext w:val="true"/>
      <w:numPr>
        <w:ilvl w:val="4"/>
        <w:numId w:val="1"/>
      </w:numPr>
      <w:spacing w:lineRule="exact" w:line="180"/>
      <w:jc w:val="end"/>
      <w:outlineLvl w:val="4"/>
    </w:pPr>
    <w:rPr>
      <w:rFonts w:ascii="Century Schoolbook" w:hAnsi="Century Schoolbook" w:cs="Century Schoolbook"/>
      <w:b/>
      <w:smallCaps/>
    </w:rPr>
  </w:style>
  <w:style w:type="paragraph" w:styleId="Heading6">
    <w:name w:val="heading 6"/>
    <w:basedOn w:val="Normal"/>
    <w:next w:val="Normal"/>
    <w:qFormat/>
    <w:pPr>
      <w:keepNext w:val="true"/>
      <w:numPr>
        <w:ilvl w:val="5"/>
        <w:numId w:val="1"/>
      </w:numPr>
      <w:ind w:hanging="720" w:start="720" w:end="0"/>
      <w:jc w:val="both"/>
      <w:outlineLvl w:val="5"/>
    </w:pPr>
    <w:rPr>
      <w:rFonts w:ascii="Bookman Old Style" w:hAnsi="Bookman Old Style" w:cs="Bookman Old Style"/>
      <w:b/>
      <w:sz w:val="22"/>
    </w:rPr>
  </w:style>
  <w:style w:type="paragraph" w:styleId="Heading7">
    <w:name w:val="heading 7"/>
    <w:basedOn w:val="Normal"/>
    <w:next w:val="Normal"/>
    <w:qFormat/>
    <w:pPr>
      <w:keepNext w:val="true"/>
      <w:numPr>
        <w:ilvl w:val="6"/>
        <w:numId w:val="1"/>
      </w:numPr>
      <w:tabs>
        <w:tab w:val="clear" w:pos="720"/>
        <w:tab w:val="left" w:pos="1440" w:leader="none"/>
      </w:tabs>
      <w:ind w:hanging="1440" w:start="1440" w:end="54"/>
      <w:jc w:val="both"/>
      <w:outlineLvl w:val="6"/>
    </w:pPr>
    <w:rPr>
      <w:rFonts w:ascii="Century Schoolbook" w:hAnsi="Century Schoolbook" w:cs="Century Schoolbook"/>
      <w:b/>
      <w:sz w:val="22"/>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style>
  <w:style w:type="character" w:styleId="WW8Num18z0">
    <w:name w:val="WW8Num18z0"/>
    <w:qFormat/>
    <w:rPr>
      <w:rFonts w:ascii="Symbol" w:hAnsi="Symbol" w:cs="Symbol"/>
      <w:sz w:val="20"/>
    </w:rPr>
  </w:style>
  <w:style w:type="character" w:styleId="WW8Num19z0">
    <w:name w:val="WW8Num19z0"/>
    <w:qFormat/>
    <w:rPr>
      <w:rFonts w:ascii="Wingdings" w:hAnsi="Wingdings" w:cs="Wingdings"/>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man Old Style" w:hAnsi="Bookman Old Style" w:cs="Bookman Old Styl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 w:hAnsi="Century Schoolbook" w:cs="Century Schoolbook"/>
      <w:smallCaps/>
      <w:sz w:val="24"/>
    </w:rPr>
  </w:style>
  <w:style w:type="paragraph" w:styleId="EnvelopeReturn">
    <w:name w:val="envelope return"/>
    <w:basedOn w:val="Normal"/>
    <w:pPr/>
    <w:rPr>
      <w:rFonts w:ascii="Century Schoolbook" w:hAnsi="Century Schoolbook" w:cs="Century Schoolbook"/>
      <w:i/>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900" w:start="900" w:end="0"/>
    </w:pPr>
    <w:rPr>
      <w:rFonts w:ascii="Bookman Old Style" w:hAnsi="Bookman Old Style" w:cs="Bookman Old Style"/>
      <w:b/>
      <w:sz w:val="22"/>
    </w:rPr>
  </w:style>
  <w:style w:type="paragraph" w:styleId="BodyText2">
    <w:name w:val="Body Text 2"/>
    <w:basedOn w:val="Normal"/>
    <w:qFormat/>
    <w:pPr>
      <w:tabs>
        <w:tab w:val="clear" w:pos="720"/>
        <w:tab w:val="left" w:pos="0" w:leader="none"/>
      </w:tabs>
      <w:ind w:hanging="0" w:start="0" w:end="54"/>
      <w:jc w:val="both"/>
    </w:pPr>
    <w:rPr>
      <w:rFonts w:ascii="Bookman Old Style" w:hAnsi="Bookman Old Style" w:cs="Bookman Old Style"/>
      <w:sz w:val="22"/>
    </w:rPr>
  </w:style>
  <w:style w:type="paragraph" w:styleId="BodyText3">
    <w:name w:val="Body Text 3"/>
    <w:basedOn w:val="Normal"/>
    <w:qFormat/>
    <w:pPr>
      <w:pBdr>
        <w:top w:val="single" w:sz="4" w:space="1" w:color="000000"/>
      </w:pBdr>
      <w:jc w:val="both"/>
    </w:pPr>
    <w:rPr>
      <w:rFonts w:ascii="Century Schoolbook" w:hAnsi="Century Schoolbook" w:cs="Century Schoolbook"/>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2001-03-04T01:51:00Z</dcterms:created>
  <dc:creator>pdavies</dc:creator>
  <dc:description/>
  <dc:language>en-CA</dc:language>
  <cp:lastModifiedBy>acrawfor</cp:lastModifiedBy>
  <cp:lastPrinted>2001-03-21T08:54:00Z</cp:lastPrinted>
  <dcterms:modified xsi:type="dcterms:W3CDTF">2001-03-21T13:24:00Z</dcterms:modified>
  <cp:revision>7</cp:revision>
  <dc:subject/>
  <dc:title>STORAGE &amp; HUB SERVICES</dc:title>
</cp:coreProperties>
</file>