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638"/>
        <w:gridCol w:w="7218"/>
      </w:tblGrid>
      <w:tr>
        <w:trPr/>
        <w:tc>
          <w:tcPr>
            <w:tcW w:w="1638" w:type="dxa"/>
            <w:tcBorders/>
          </w:tcPr>
          <w:p>
            <w:pPr>
              <w:pStyle w:val="Normal"/>
              <w:spacing w:before="0" w:after="240"/>
              <w:rPr>
                <w:rFonts w:ascii="Arial" w:hAnsi="Arial" w:cs="Arial"/>
                <w:b/>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5.3pt;height:64.7pt" filled="f" o:ole="">
                  <v:imagedata r:id="rId3" o:title=""/>
                </v:shape>
                <o:OLEObject Type="Embed" ProgID="" ShapeID="ole_rId2" DrawAspect="Content" ObjectID="_715985529" r:id="rId2"/>
              </w:object>
            </w:r>
          </w:p>
        </w:tc>
        <w:tc>
          <w:tcPr>
            <w:tcW w:w="7218" w:type="dxa"/>
            <w:tcBorders/>
          </w:tcPr>
          <w:p>
            <w:pPr>
              <w:pStyle w:val="Heading4"/>
              <w:spacing w:before="720" w:after="240"/>
              <w:ind w:hanging="0" w:start="1440" w:end="0"/>
              <w:rPr>
                <w:rFonts w:ascii="Arial" w:hAnsi="Arial" w:cs="Arial"/>
                <w:b/>
                <w:sz w:val="36"/>
              </w:rPr>
            </w:pPr>
            <w:r>
              <w:rPr>
                <w:rFonts w:cs="Arial" w:ascii="Arial" w:hAnsi="Arial"/>
                <w:b/>
                <w:sz w:val="36"/>
              </w:rPr>
              <w:t>Memorandum</w:t>
            </w:r>
          </w:p>
        </w:tc>
      </w:tr>
      <w:tr>
        <w:trPr/>
        <w:tc>
          <w:tcPr>
            <w:tcW w:w="1638" w:type="dxa"/>
            <w:tcBorders>
              <w:top w:val="double" w:sz="6" w:space="0" w:color="000000"/>
            </w:tcBorders>
          </w:tcPr>
          <w:p>
            <w:pPr>
              <w:pStyle w:val="Normal"/>
              <w:snapToGrid w:val="false"/>
              <w:spacing w:before="0" w:after="240"/>
              <w:rPr>
                <w:rFonts w:ascii="Arial" w:hAnsi="Arial" w:cs="Arial"/>
                <w:b/>
                <w:sz w:val="36"/>
              </w:rPr>
            </w:pPr>
            <w:r>
              <w:rPr>
                <w:rFonts w:cs="Arial" w:ascii="Arial" w:hAnsi="Arial"/>
                <w:b/>
                <w:sz w:val="36"/>
              </w:rPr>
            </w:r>
          </w:p>
        </w:tc>
        <w:tc>
          <w:tcPr>
            <w:tcW w:w="7218" w:type="dxa"/>
            <w:tcBorders>
              <w:top w:val="double" w:sz="6" w:space="0" w:color="000000"/>
            </w:tcBorders>
          </w:tcPr>
          <w:p>
            <w:pPr>
              <w:pStyle w:val="Normal"/>
              <w:spacing w:before="0" w:after="240"/>
              <w:rPr>
                <w:rFonts w:ascii="Arial" w:hAnsi="Arial" w:cs="Arial"/>
                <w:sz w:val="20"/>
              </w:rPr>
            </w:pPr>
            <w:r>
              <w:rPr>
                <w:b/>
                <w:vanish/>
                <w:color w:val="FF0000"/>
                <w:sz w:val="20"/>
              </w:rPr>
              <w:t>*</w:t>
            </w:r>
            <w:r>
              <w:rPr>
                <w:b/>
                <w:vanish/>
                <w:color w:val="FF0000"/>
              </w:rPr>
              <w:t>*THIS IS A TEMPLATE – PLEASE COPY TO ANOTHER SUBFOLDER.  Note: this is an EAF memo, change for another company**</w:t>
            </w:r>
          </w:p>
        </w:tc>
      </w:tr>
      <w:tr>
        <w:trPr/>
        <w:tc>
          <w:tcPr>
            <w:tcW w:w="1638" w:type="dxa"/>
            <w:tcBorders/>
          </w:tcPr>
          <w:p>
            <w:pPr>
              <w:pStyle w:val="Normal"/>
              <w:rPr>
                <w:rFonts w:ascii="Arial" w:hAnsi="Arial" w:cs="Arial"/>
                <w:b/>
              </w:rPr>
            </w:pPr>
            <w:r>
              <w:rPr>
                <w:rFonts w:cs="Arial" w:ascii="Arial" w:hAnsi="Arial"/>
                <w:b/>
              </w:rPr>
              <w:t>To:</w:t>
            </w:r>
          </w:p>
        </w:tc>
        <w:tc>
          <w:tcPr>
            <w:tcW w:w="7218" w:type="dxa"/>
            <w:tcBorders/>
          </w:tcPr>
          <w:p>
            <w:pPr>
              <w:pStyle w:val="Header"/>
              <w:tabs>
                <w:tab w:val="clear" w:pos="4320"/>
                <w:tab w:val="clear" w:pos="8640"/>
              </w:tabs>
              <w:spacing w:before="0" w:after="240"/>
              <w:rPr>
                <w:rFonts w:ascii="Arial" w:hAnsi="Arial" w:cs="Arial"/>
              </w:rPr>
            </w:pPr>
            <w:r>
              <w:rPr>
                <w:rFonts w:cs="Arial" w:ascii="Arial" w:hAnsi="Arial"/>
              </w:rPr>
              <w:t>Mark Taylor, Justin Boyd</w:t>
            </w:r>
          </w:p>
        </w:tc>
      </w:tr>
      <w:tr>
        <w:trPr/>
        <w:tc>
          <w:tcPr>
            <w:tcW w:w="1638" w:type="dxa"/>
            <w:tcBorders/>
          </w:tcPr>
          <w:p>
            <w:pPr>
              <w:pStyle w:val="Normal"/>
              <w:rPr>
                <w:rFonts w:ascii="Arial" w:hAnsi="Arial" w:cs="Arial"/>
                <w:b/>
              </w:rPr>
            </w:pPr>
            <w:r>
              <w:rPr>
                <w:rFonts w:cs="Arial" w:ascii="Arial" w:hAnsi="Arial"/>
                <w:b/>
              </w:rPr>
              <w:t>CC:</w:t>
            </w:r>
          </w:p>
        </w:tc>
        <w:tc>
          <w:tcPr>
            <w:tcW w:w="7218" w:type="dxa"/>
            <w:tcBorders/>
          </w:tcPr>
          <w:p>
            <w:pPr>
              <w:pStyle w:val="Normal"/>
              <w:spacing w:before="0" w:after="240"/>
              <w:rPr>
                <w:rFonts w:ascii="Arial" w:hAnsi="Arial" w:cs="Arial"/>
              </w:rPr>
            </w:pPr>
            <w:r>
              <w:rPr>
                <w:rFonts w:cs="Arial" w:ascii="Arial" w:hAnsi="Arial"/>
              </w:rPr>
              <w:t>Edmond Cooper, Alan Aronowtiz</w:t>
            </w:r>
          </w:p>
        </w:tc>
      </w:tr>
      <w:tr>
        <w:trPr/>
        <w:tc>
          <w:tcPr>
            <w:tcW w:w="1638" w:type="dxa"/>
            <w:tcBorders/>
          </w:tcPr>
          <w:p>
            <w:pPr>
              <w:pStyle w:val="Normal"/>
              <w:rPr>
                <w:rFonts w:ascii="Arial" w:hAnsi="Arial" w:cs="Arial"/>
                <w:b/>
              </w:rPr>
            </w:pPr>
            <w:r>
              <w:rPr>
                <w:rFonts w:cs="Arial" w:ascii="Arial" w:hAnsi="Arial"/>
                <w:b/>
              </w:rPr>
              <w:t>From:</w:t>
            </w:r>
          </w:p>
        </w:tc>
        <w:tc>
          <w:tcPr>
            <w:tcW w:w="7218" w:type="dxa"/>
            <w:tcBorders/>
          </w:tcPr>
          <w:p>
            <w:pPr>
              <w:pStyle w:val="Normal"/>
              <w:spacing w:before="0" w:after="240"/>
              <w:rPr>
                <w:rFonts w:ascii="Arial" w:hAnsi="Arial" w:cs="Arial"/>
              </w:rPr>
            </w:pPr>
            <w:r>
              <w:rPr>
                <w:rFonts w:cs="Arial" w:ascii="Arial" w:hAnsi="Arial"/>
              </w:rPr>
              <w:t>David Minns</w:t>
            </w:r>
          </w:p>
        </w:tc>
      </w:tr>
      <w:tr>
        <w:trPr/>
        <w:tc>
          <w:tcPr>
            <w:tcW w:w="1638" w:type="dxa"/>
            <w:tcBorders/>
          </w:tcPr>
          <w:p>
            <w:pPr>
              <w:pStyle w:val="Normal"/>
              <w:rPr>
                <w:rFonts w:ascii="Arial" w:hAnsi="Arial" w:cs="Arial"/>
                <w:b/>
              </w:rPr>
            </w:pPr>
            <w:r>
              <w:rPr>
                <w:rFonts w:cs="Arial" w:ascii="Arial" w:hAnsi="Arial"/>
                <w:b/>
              </w:rPr>
              <w:t>Date:</w:t>
            </w:r>
          </w:p>
        </w:tc>
        <w:tc>
          <w:tcPr>
            <w:tcW w:w="7218" w:type="dxa"/>
            <w:tcBorders/>
          </w:tcPr>
          <w:p>
            <w:pPr>
              <w:pStyle w:val="Normal"/>
              <w:spacing w:before="0" w:after="240"/>
              <w:rPr>
                <w:rFonts w:ascii="Arial" w:hAnsi="Arial" w:cs="Arial"/>
              </w:rPr>
            </w:pPr>
            <w:r>
              <w:rPr>
                <w:rFonts w:cs="Arial" w:ascii="Arial" w:hAnsi="Arial"/>
              </w:rPr>
              <w:t>24 January, 2000</w:t>
            </w:r>
          </w:p>
        </w:tc>
      </w:tr>
      <w:tr>
        <w:trPr/>
        <w:tc>
          <w:tcPr>
            <w:tcW w:w="1638" w:type="dxa"/>
            <w:tcBorders>
              <w:bottom w:val="double" w:sz="6" w:space="0" w:color="000000"/>
            </w:tcBorders>
          </w:tcPr>
          <w:p>
            <w:pPr>
              <w:pStyle w:val="Normal"/>
              <w:spacing w:before="0" w:after="240"/>
              <w:rPr>
                <w:rFonts w:ascii="Arial" w:hAnsi="Arial" w:cs="Arial"/>
                <w:b/>
              </w:rPr>
            </w:pPr>
            <w:r>
              <w:rPr>
                <w:rFonts w:cs="Arial" w:ascii="Arial" w:hAnsi="Arial"/>
                <w:b/>
              </w:rPr>
              <w:t>Subject:</w:t>
            </w:r>
          </w:p>
        </w:tc>
        <w:tc>
          <w:tcPr>
            <w:tcW w:w="7218" w:type="dxa"/>
            <w:tcBorders>
              <w:bottom w:val="double" w:sz="6" w:space="0" w:color="000000"/>
            </w:tcBorders>
          </w:tcPr>
          <w:p>
            <w:pPr>
              <w:pStyle w:val="Normal"/>
              <w:spacing w:before="0" w:after="240"/>
              <w:rPr>
                <w:rFonts w:ascii="Arial" w:hAnsi="Arial" w:cs="Arial"/>
                <w:b/>
              </w:rPr>
            </w:pPr>
            <w:r>
              <w:rPr>
                <w:rFonts w:cs="Arial" w:ascii="Arial" w:hAnsi="Arial"/>
                <w:b/>
              </w:rPr>
              <w:t>EnronOnline – Contractual Issues</w:t>
            </w:r>
          </w:p>
        </w:tc>
      </w:tr>
    </w:tbl>
    <w:p>
      <w:pPr>
        <w:pStyle w:val="Footer"/>
        <w:pBdr>
          <w:top w:val="double" w:sz="6" w:space="9" w:color="000000"/>
        </w:pBdr>
        <w:spacing w:before="120" w:after="0"/>
        <w:jc w:val="both"/>
        <w:rPr>
          <w:sz w:val="20"/>
        </w:rPr>
      </w:pPr>
      <w:r>
        <w:rPr>
          <w:sz w:val="20"/>
        </w:rPr>
        <w:t>This morning I met with Mallesons Stephen Jaques to review a number of issues relating to contract formation in respect of EnronOnline.  A number of issues were raised which I assume must have already been researched and considered in other jurisdictions.  These are as follows:</w:t>
      </w:r>
    </w:p>
    <w:p>
      <w:pPr>
        <w:pStyle w:val="Footer"/>
        <w:pBdr>
          <w:top w:val="double" w:sz="6" w:space="9" w:color="000000"/>
        </w:pBdr>
        <w:spacing w:before="120" w:after="0"/>
        <w:jc w:val="both"/>
        <w:rPr>
          <w:sz w:val="20"/>
        </w:rPr>
      </w:pPr>
      <w:r>
        <w:rPr>
          <w:sz w:val="20"/>
        </w:rPr>
      </w:r>
    </w:p>
    <w:p>
      <w:pPr>
        <w:pStyle w:val="Footer"/>
        <w:numPr>
          <w:ilvl w:val="0"/>
          <w:numId w:val="3"/>
        </w:numPr>
        <w:pBdr>
          <w:top w:val="double" w:sz="6" w:space="9" w:color="000000"/>
        </w:pBdr>
        <w:spacing w:before="120" w:after="0"/>
        <w:jc w:val="both"/>
        <w:rPr>
          <w:b/>
          <w:sz w:val="20"/>
        </w:rPr>
      </w:pPr>
      <w:r>
        <w:rPr>
          <w:b/>
          <w:sz w:val="20"/>
        </w:rPr>
        <w:t>Revocation of Offers</w:t>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sz w:val="20"/>
        </w:rPr>
      </w:pPr>
      <w:r>
        <w:rPr>
          <w:sz w:val="20"/>
        </w:rPr>
        <w:tab/>
        <w:t xml:space="preserve">Under the Electronic Trading Agreement (ETA) it is quite clear that clicking on the “submit” button will constitute an offer by the counterparty to Enron.In the absence of any provisions in the ETA to the contrary it appears open (at least in theory) for a counterparty to withdraw its offer prior to acceptance by Enron by means of a message “accessible on the website server”.  Although there is no mechanism that we are aware of to revoke an offer through EnronOnline the counterparty may attempt to do so through some other form of instantaneous communication (eg fax, email or telephone). There appears nothing to preclude such a revocation being effective. </w:t>
      </w:r>
    </w:p>
    <w:p>
      <w:pPr>
        <w:pStyle w:val="Footer"/>
        <w:numPr>
          <w:ilvl w:val="0"/>
          <w:numId w:val="3"/>
        </w:numPr>
        <w:pBdr>
          <w:top w:val="double" w:sz="6" w:space="9" w:color="000000"/>
        </w:pBdr>
        <w:spacing w:before="120" w:after="120"/>
        <w:jc w:val="both"/>
        <w:rPr>
          <w:b/>
          <w:sz w:val="20"/>
        </w:rPr>
      </w:pPr>
      <w:r>
        <w:rPr>
          <w:b/>
          <w:sz w:val="20"/>
        </w:rPr>
        <w:t>Notification of acceptance</w:t>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sz w:val="20"/>
        </w:rPr>
      </w:pPr>
      <w:r>
        <w:rPr>
          <w:sz w:val="20"/>
        </w:rPr>
        <w:tab/>
        <w:t>Under the terms of the ETA (clause 3(c))</w:t>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pPr>
      <w:r>
        <w:rPr>
          <w:sz w:val="20"/>
        </w:rPr>
        <w:tab/>
        <w:t>“A</w:t>
      </w:r>
      <w:r>
        <w:rPr>
          <w:i/>
          <w:sz w:val="20"/>
        </w:rPr>
        <w:t xml:space="preserve"> Transaction shall be deemed executed at the time Enron first signifies its acceptance of Counterparty’s offer, accessible on the Website server</w:t>
      </w:r>
      <w:r>
        <w:rPr>
          <w:sz w:val="20"/>
        </w:rPr>
        <w:t>.”</w:t>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sz w:val="20"/>
        </w:rPr>
      </w:pPr>
      <w:r>
        <w:rPr>
          <w:sz w:val="20"/>
        </w:rPr>
        <w:tab/>
        <w:t>In a 10 June 1999 Clifford Chance letter copied to us, the following was stated:</w:t>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pPr>
      <w:r>
        <w:rPr>
          <w:sz w:val="20"/>
        </w:rPr>
        <w:tab/>
        <w:t>“</w:t>
      </w:r>
      <w:r>
        <w:rPr>
          <w:i/>
          <w:sz w:val="20"/>
        </w:rPr>
        <w:t>Enron wants the trade to be formally completed at the time the message is sent back by Enron regardless of whether the message is actually accessed by the Counterparty.”</w:t>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sz w:val="20"/>
        </w:rPr>
      </w:pPr>
      <w:r>
        <w:rPr>
          <w:sz w:val="20"/>
        </w:rPr>
        <w:tab/>
        <w:t>How could it be proven that the Enron acceptance was be “accessible on the Website server”.  For example, if a counterparty alleged that it could not access the Website due to lack of bandwidth would any evidence be available to the contrary?</w:t>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sz w:val="20"/>
        </w:rPr>
      </w:pPr>
      <w:r>
        <w:rPr>
          <w:sz w:val="20"/>
        </w:rPr>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sz w:val="20"/>
        </w:rPr>
      </w:pPr>
      <w:r>
        <w:rPr>
          <w:sz w:val="20"/>
        </w:rPr>
      </w:r>
    </w:p>
    <w:p>
      <w:pPr>
        <w:pStyle w:val="Footer"/>
        <w:pBdr>
          <w:top w:val="double" w:sz="6" w:space="9" w:color="000000"/>
        </w:pBdr>
        <w:tabs>
          <w:tab w:val="left" w:pos="630" w:leader="none"/>
          <w:tab w:val="center" w:pos="4320" w:leader="none"/>
          <w:tab w:val="right" w:pos="8640" w:leader="none"/>
        </w:tabs>
        <w:spacing w:before="120" w:after="120"/>
        <w:ind w:hanging="630" w:start="630" w:end="0"/>
        <w:jc w:val="both"/>
        <w:rPr>
          <w:sz w:val="20"/>
        </w:rPr>
      </w:pPr>
      <w:r>
        <w:rPr>
          <w:sz w:val="20"/>
        </w:rPr>
      </w:r>
    </w:p>
    <w:p>
      <w:pPr>
        <w:pStyle w:val="Footer"/>
        <w:numPr>
          <w:ilvl w:val="0"/>
          <w:numId w:val="3"/>
        </w:numPr>
        <w:pBdr>
          <w:top w:val="double" w:sz="6" w:space="9" w:color="000000"/>
        </w:pBdr>
        <w:spacing w:before="120" w:after="120"/>
        <w:jc w:val="both"/>
        <w:rPr>
          <w:b/>
          <w:sz w:val="20"/>
        </w:rPr>
      </w:pPr>
      <w:r>
        <w:rPr>
          <w:b/>
          <w:sz w:val="20"/>
        </w:rPr>
        <w:t>Evidence of GTCs and ETA applying to a particular transaction</w:t>
      </w:r>
    </w:p>
    <w:p>
      <w:pPr>
        <w:pStyle w:val="BodyTextIndent"/>
        <w:spacing w:before="120" w:after="120"/>
        <w:jc w:val="both"/>
        <w:rPr/>
      </w:pPr>
      <w:r>
        <w:rPr/>
        <w:tab/>
        <w:t>It is expected over time that the GTCs in respect of specific products as well as an ETA will be updated. Has consideration been given to the sufficiency of audit reports, etc within EnronOnline to link a particular version of an ETA and GTC to a particular Transaction?   This type of evidence may be needed in the following circumstances:</w:t>
      </w:r>
    </w:p>
    <w:p>
      <w:pPr>
        <w:pStyle w:val="Normal"/>
        <w:numPr>
          <w:ilvl w:val="0"/>
          <w:numId w:val="2"/>
        </w:numPr>
        <w:tabs>
          <w:tab w:val="clear" w:pos="720"/>
          <w:tab w:val="left" w:pos="1350" w:leader="none"/>
        </w:tabs>
        <w:spacing w:before="120" w:after="120"/>
        <w:ind w:hanging="720" w:start="1350" w:end="0"/>
        <w:jc w:val="both"/>
        <w:rPr>
          <w:sz w:val="20"/>
        </w:rPr>
      </w:pPr>
      <w:r>
        <w:rPr>
          <w:sz w:val="20"/>
        </w:rPr>
        <w:t xml:space="preserve">In the event of litigation Enron may need to establish to the satisfaction of a court as to the terms which were displayed on the Website on a particular day. </w:t>
      </w:r>
    </w:p>
    <w:p>
      <w:pPr>
        <w:pStyle w:val="Normal"/>
        <w:numPr>
          <w:ilvl w:val="0"/>
          <w:numId w:val="2"/>
        </w:numPr>
        <w:tabs>
          <w:tab w:val="clear" w:pos="720"/>
          <w:tab w:val="left" w:pos="1350" w:leader="none"/>
        </w:tabs>
        <w:spacing w:before="120" w:after="120"/>
        <w:ind w:hanging="720" w:start="1350" w:end="0"/>
        <w:jc w:val="both"/>
        <w:rPr>
          <w:sz w:val="20"/>
        </w:rPr>
      </w:pPr>
      <w:r>
        <w:rPr>
          <w:sz w:val="20"/>
        </w:rPr>
        <w:t>We may need to answer questions from potential counterparties to satisfy them that Enron is not in a position to unilaterally change the contractual terms without leaving an audit trail.</w:t>
      </w:r>
    </w:p>
    <w:p>
      <w:pPr>
        <w:pStyle w:val="BodyText2"/>
        <w:spacing w:before="120" w:after="120"/>
        <w:rPr/>
      </w:pPr>
      <w:r>
        <w:rPr/>
        <w:t xml:space="preserve">We would appreciate any assistance you could give us in these areas.  We are extremely reluctant to “reinvent the wheel” where clearly advice must have been obtained on these points. If we could have access to these advices it would enable us to confirm the factual assumptions and analysis used elsewhere would also apply in Australian jurisdictions.    </w:t>
      </w:r>
    </w:p>
    <w:p>
      <w:pPr>
        <w:pStyle w:val="Normal"/>
        <w:spacing w:before="120" w:after="120"/>
        <w:rPr>
          <w:sz w:val="20"/>
        </w:rPr>
      </w:pPr>
      <w:r>
        <w:rPr>
          <w:sz w:val="20"/>
        </w:rPr>
        <w:t>Regards</w:t>
      </w:r>
    </w:p>
    <w:p>
      <w:pPr>
        <w:pStyle w:val="Normal"/>
        <w:spacing w:before="120" w:after="120"/>
        <w:rPr>
          <w:sz w:val="20"/>
        </w:rPr>
      </w:pPr>
      <w:r>
        <w:rPr>
          <w:sz w:val="20"/>
        </w:rPr>
      </w:r>
    </w:p>
    <w:p>
      <w:pPr>
        <w:pStyle w:val="Normal"/>
        <w:spacing w:before="120" w:after="120"/>
        <w:rPr>
          <w:sz w:val="20"/>
        </w:rPr>
      </w:pPr>
      <w:r>
        <w:rPr>
          <w:sz w:val="20"/>
        </w:rPr>
        <w:t>David Minns</w:t>
      </w:r>
    </w:p>
    <w:sectPr>
      <w:footerReference w:type="default" r:id="rId4"/>
      <w:footerReference w:type="first" r:id="rId5"/>
      <w:type w:val="nextPage"/>
      <w:pgSz w:w="12240" w:h="15840"/>
      <w:pgMar w:left="1800" w:right="1800" w:gutter="0" w:header="0" w:top="7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/mnt/main-storage/datasets/enron-docs/doc/advice_memo___24_01_00.doc</w:t>
    </w:r>
    <w:r>
      <w:rPr>
        <w:sz w:val="12"/>
        <w:lang w:eastAsia="en-US"/>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/mnt/main-storage/datasets/enron-docs/doc/advice_memo___24_01_00.doc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decimal"/>
      <w:lvlText w:val="%1."/>
      <w:lvlJc w:val="start"/>
      <w:pPr>
        <w:tabs>
          <w:tab w:val="num" w:pos="630"/>
        </w:tabs>
        <w:ind w:start="630" w:hanging="63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sz w:val="24"/>
    </w:rPr>
  </w:style>
  <w:style w:type="paragraph" w:styleId="Heading2">
    <w:name w:val="heading 2"/>
    <w:basedOn w:val="Normal"/>
    <w:next w:val="Normal"/>
    <w:qFormat/>
    <w:pPr>
      <w:keepNext w:val="true"/>
      <w:numPr>
        <w:ilvl w:val="1"/>
        <w:numId w:val="1"/>
      </w:numPr>
      <w:spacing w:before="0" w:after="240"/>
      <w:outlineLvl w:val="1"/>
    </w:pPr>
    <w:rPr>
      <w:rFonts w:ascii="Arial" w:hAnsi="Arial" w:cs="Arial"/>
      <w:b/>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0" w:after="240"/>
      <w:outlineLvl w:val="3"/>
    </w:pPr>
    <w:rPr>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30" w:leader="none"/>
      </w:tabs>
      <w:spacing w:before="0" w:after="240"/>
      <w:ind w:hanging="630" w:start="630" w:end="0"/>
    </w:pPr>
    <w:rPr>
      <w:sz w:val="20"/>
    </w:rPr>
  </w:style>
  <w:style w:type="paragraph" w:styleId="BodyText2">
    <w:name w:val="Body Text 2"/>
    <w:basedOn w:val="Normal"/>
    <w:qFormat/>
    <w:pPr>
      <w:spacing w:before="240" w:after="24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2000-01-24T03:10:00Z</dcterms:created>
  <dc:creator>ENRON</dc:creator>
  <dc:description/>
  <dc:language>en-CA</dc:language>
  <cp:lastModifiedBy>David Minns</cp:lastModifiedBy>
  <cp:lastPrinted>2000-01-24T17:20:00Z</cp:lastPrinted>
  <dcterms:modified xsi:type="dcterms:W3CDTF">2000-01-24T04:54:00Z</dcterms:modified>
  <cp:revision>9</cp:revision>
  <dc:subject/>
  <dc:title> </dc:title>
</cp:coreProperties>
</file>