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Adcetera Group</w:t>
      </w:r>
    </w:p>
    <w:p>
      <w:pPr>
        <w:pStyle w:val="Normal"/>
        <w:jc w:val="both"/>
        <w:rPr>
          <w:rFonts w:ascii="Times New Roman" w:hAnsi="Times New Roman" w:cs="Times New Roman"/>
          <w:sz w:val="22"/>
        </w:rPr>
      </w:pPr>
      <w:r>
        <w:rPr>
          <w:rFonts w:cs="Times New Roman" w:ascii="Times New Roman" w:hAnsi="Times New Roman"/>
          <w:sz w:val="22"/>
        </w:rPr>
        <w:t>2727 Allen Parkway, Suite 900</w:t>
      </w:r>
    </w:p>
    <w:p>
      <w:pPr>
        <w:pStyle w:val="Normal"/>
        <w:jc w:val="both"/>
        <w:rPr>
          <w:rFonts w:ascii="Times New Roman" w:hAnsi="Times New Roman" w:cs="Times New Roman"/>
          <w:sz w:val="22"/>
        </w:rPr>
      </w:pPr>
      <w:r>
        <w:rPr>
          <w:rFonts w:cs="Times New Roman" w:ascii="Times New Roman" w:hAnsi="Times New Roman"/>
          <w:sz w:val="22"/>
        </w:rPr>
        <w:t>Houston, Texas  77019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Adcetera Group and CommodityLogic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website design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agree that all right, title and interest in and to the Confidential Information disclosed hereunder shall be retained by the disclosing party and that no present or future intellectual property rights or licenses are offered, granted or implied by the disclosure of any Confidential Information hereunder.</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C</w:t>
      </w:r>
      <w:r>
        <w:rPr>
          <w:rFonts w:cs="Times New Roman" w:ascii="Times New Roman" w:hAnsi="Times New Roman"/>
          <w:sz w:val="22"/>
        </w:rPr>
        <w:t>OMMODITY</w:t>
      </w:r>
      <w:r>
        <w:rPr>
          <w:rFonts w:cs="Times New Roman" w:ascii="Times New Roman" w:hAnsi="Times New Roman"/>
          <w:sz w:val="24"/>
        </w:rPr>
        <w:t>L</w:t>
      </w:r>
      <w:r>
        <w:rPr>
          <w:rFonts w:cs="Times New Roman" w:ascii="Times New Roman" w:hAnsi="Times New Roman"/>
          <w:sz w:val="22"/>
        </w:rPr>
        <w:t>OGIC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THE ADCETERA GROUP</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/mnt/main-storage/datasets/enron-docs/doc/adcetera_commoditylogic.doc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The Adcetera Group</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2001-10-03T19:48:00Z</dcterms:created>
  <dc:creator>ECT</dc:creator>
  <dc:description/>
  <dc:language>en-CA</dc:language>
  <cp:lastModifiedBy>tjones</cp:lastModifiedBy>
  <cp:lastPrinted>2001-10-03T17:22:00Z</cp:lastPrinted>
  <dcterms:modified xsi:type="dcterms:W3CDTF">2001-10-03T20:04:00Z</dcterms:modified>
  <cp:revision>8</cp:revision>
  <dc:subject/>
  <dc:title>Reciprocal Confidentiality Agreement</dc:title>
</cp:coreProperties>
</file>