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sz w:val="20"/>
        </w:rPr>
      </w:pPr>
      <w:r>
        <w:rPr>
          <w:sz w:val="20"/>
        </w:rPr>
      </w:r>
    </w:p>
    <w:p>
      <w:pPr>
        <w:pStyle w:val="Normal"/>
        <w:rPr/>
      </w:pPr>
      <w:r>
        <w:rPr>
          <w:sz w:val="20"/>
        </w:rPr>
        <w:drawing>
          <wp:inline distT="0" distB="0" distL="0" distR="0">
            <wp:extent cx="929640" cy="914400"/>
            <wp:effectExtent l="0" t="0" r="0" b="0"/>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rcRect l="-39" t="-39" r="-39" b="-39"/>
                    <a:stretch>
                      <a:fillRect/>
                    </a:stretch>
                  </pic:blipFill>
                  <pic:spPr bwMode="auto">
                    <a:xfrm>
                      <a:off x="0" y="0"/>
                      <a:ext cx="929640" cy="914400"/>
                    </a:xfrm>
                    <a:prstGeom prst="rect">
                      <a:avLst/>
                    </a:prstGeom>
                    <a:noFill/>
                  </pic:spPr>
                </pic:pic>
              </a:graphicData>
            </a:graphic>
          </wp:inline>
        </w:drawing>
      </w:r>
      <w:r>
        <w:rPr/>
        <w:tab/>
      </w:r>
      <w:r>
        <w:rPr>
          <w:rFonts w:cs="Arial Black" w:ascii="Arial Black" w:hAnsi="Arial Black"/>
        </w:rPr>
        <w:t>Enron Transportation Services Company</w:t>
      </w:r>
    </w:p>
    <w:p>
      <w:pPr>
        <w:pStyle w:val="Normal"/>
        <w:ind w:firstLine="720" w:start="1440" w:end="0"/>
        <w:rPr>
          <w:rFonts w:ascii="Arial Black" w:hAnsi="Arial Black" w:cs="Arial Black"/>
        </w:rPr>
      </w:pPr>
      <w:r>
        <w:rPr>
          <w:rFonts w:cs="Arial Black" w:ascii="Arial Black" w:hAnsi="Arial Black"/>
        </w:rPr>
      </w:r>
    </w:p>
    <w:p>
      <w:pPr>
        <w:pStyle w:val="Normal"/>
        <w:rPr>
          <w:rFonts w:ascii="Arial Black" w:hAnsi="Arial Black" w:cs="Arial Black"/>
        </w:rPr>
      </w:pPr>
      <w:r>
        <w:rPr>
          <w:rFonts w:cs="Arial Black" w:ascii="Arial Black" w:hAnsi="Arial Black"/>
        </w:rPr>
      </w:r>
    </w:p>
    <w:p>
      <w:pPr>
        <w:pStyle w:val="Normal"/>
        <w:ind w:firstLine="720" w:start="1440" w:end="0"/>
        <w:rPr/>
      </w:pPr>
      <w:r>
        <w:rPr/>
        <w:tab/>
        <w:tab/>
        <w:tab/>
        <w:tab/>
      </w:r>
      <w:r>
        <w:rPr>
          <w:i/>
        </w:rPr>
        <w:t>Attorney-Client Communication</w:t>
      </w:r>
    </w:p>
    <w:p>
      <w:pPr>
        <w:pStyle w:val="Heading1"/>
        <w:ind w:hanging="0" w:start="0"/>
        <w:rPr/>
      </w:pPr>
      <w:r>
        <w:rPr/>
        <w:tab/>
        <w:tab/>
        <w:tab/>
        <w:tab/>
        <w:tab/>
        <w:tab/>
        <w:tab/>
        <w:t>Privileged &amp; Confidential</w:t>
      </w:r>
    </w:p>
    <w:p>
      <w:pPr>
        <w:pStyle w:val="Normal"/>
        <w:rPr/>
      </w:pPr>
      <w:r>
        <w:rPr/>
      </w:r>
    </w:p>
    <w:p>
      <w:pPr>
        <w:pStyle w:val="Normal"/>
        <w:rPr/>
      </w:pPr>
      <w:r>
        <w:rPr/>
      </w:r>
    </w:p>
    <w:p>
      <w:pPr>
        <w:pStyle w:val="Normal"/>
        <w:rPr/>
      </w:pPr>
      <w:r>
        <w:rPr/>
      </w:r>
    </w:p>
    <w:p>
      <w:pPr>
        <w:pStyle w:val="Normal"/>
        <w:rPr/>
      </w:pPr>
      <w:r>
        <w:rPr/>
        <w:t xml:space="preserve">To:  </w:t>
        <w:tab/>
        <w:tab/>
        <w:t>Danny McCarty, Steve Harris, Jeff Fawcett</w:t>
      </w:r>
    </w:p>
    <w:p>
      <w:pPr>
        <w:pStyle w:val="Normal"/>
        <w:rPr/>
      </w:pPr>
      <w:r>
        <w:rPr/>
      </w:r>
    </w:p>
    <w:p>
      <w:pPr>
        <w:pStyle w:val="Normal"/>
        <w:rPr/>
      </w:pPr>
      <w:r>
        <w:rPr/>
        <w:t>From:</w:t>
        <w:tab/>
        <w:tab/>
        <w:t>Susan Scott</w:t>
      </w:r>
    </w:p>
    <w:p>
      <w:pPr>
        <w:pStyle w:val="Normal"/>
        <w:rPr/>
      </w:pPr>
      <w:r>
        <w:rPr/>
      </w:r>
    </w:p>
    <w:p>
      <w:pPr>
        <w:pStyle w:val="Normal"/>
        <w:rPr/>
      </w:pPr>
      <w:r>
        <w:rPr/>
        <w:t>Subject:</w:t>
        <w:tab/>
        <w:t>Acquisition of capacity on competing interstate pipeline</w:t>
      </w:r>
    </w:p>
    <w:p>
      <w:pPr>
        <w:pStyle w:val="Normal"/>
        <w:rPr/>
      </w:pPr>
      <w:r>
        <w:rPr/>
      </w:r>
    </w:p>
    <w:p>
      <w:pPr>
        <w:pStyle w:val="Normal"/>
        <w:rPr/>
      </w:pPr>
      <w:r>
        <w:rPr/>
        <w:t>Date:</w:t>
        <w:tab/>
        <w:tab/>
        <w:t>September 20, 2000</w:t>
      </w:r>
    </w:p>
    <w:p>
      <w:pPr>
        <w:pStyle w:val="Normal"/>
        <w:rPr/>
      </w:pPr>
      <w:r>
        <w:rPr/>
      </w:r>
    </w:p>
    <w:p>
      <w:pPr>
        <w:pStyle w:val="Normal"/>
        <w:rPr/>
      </w:pPr>
      <w:r>
        <w:rPr/>
        <w:tab/>
        <w:t>You have asked whether it would be possible for Transwestern to acquire and resell capacity on a competing interstate pipeline in lieu of constructing additional facilities to make additional capacity available on Transwestern.  It is unclear whether the Commission would allow Transwestern to obtain offsystem capacity in the absence of special circumstances, such as constraint out of a supply basin, operational need, or administrative convenience for shippers.  However, the Commission considers requests for offsystem capacity on a case-by-case basis, and as long as Transwestern addresses the concerns articulated by the Commission in previous cases, there is a chance that the Commission would allow Transwestern to contract for some if not all of the desired capacity, eliminating the need for a costly physical expansion.  The timetable for obtaining approval of such a proposal is uncertain, but similar filings have been acted on in five months or less.</w:t>
      </w:r>
    </w:p>
    <w:p>
      <w:pPr>
        <w:pStyle w:val="Normal"/>
        <w:rPr/>
      </w:pPr>
      <w:r>
        <w:rPr/>
      </w:r>
    </w:p>
    <w:p>
      <w:pPr>
        <w:pStyle w:val="Heading2"/>
        <w:ind w:hanging="0" w:start="0"/>
        <w:rPr/>
      </w:pPr>
      <w:r>
        <w:rPr/>
        <w:t>Background: Criteria for Acquiring Offsystem Capacity</w:t>
      </w:r>
    </w:p>
    <w:p>
      <w:pPr>
        <w:pStyle w:val="Normal"/>
        <w:rPr>
          <w:b/>
        </w:rPr>
      </w:pPr>
      <w:r>
        <w:rPr>
          <w:b/>
        </w:rPr>
      </w:r>
    </w:p>
    <w:p>
      <w:pPr>
        <w:pStyle w:val="Normal"/>
        <w:rPr/>
      </w:pPr>
      <w:r>
        <w:rPr/>
        <w:tab/>
        <w:t>Currently interstate pipelines are required to obtain permission from FERC before acquiring capacity on another pipeline. The Commission considers such requests on a case-by-case basis, and requires requesting pipelines to address the following concerns:</w:t>
      </w:r>
    </w:p>
    <w:p>
      <w:pPr>
        <w:pStyle w:val="Normal"/>
        <w:rPr/>
      </w:pPr>
      <w:r>
        <w:rPr/>
      </w:r>
    </w:p>
    <w:p>
      <w:pPr>
        <w:pStyle w:val="Normal"/>
        <w:rPr/>
      </w:pPr>
      <w:r>
        <w:rPr/>
        <w:tab/>
        <w:t>1) whether the interstate pipeline would gain control over access to upstream capacity and supply sources in a manner that could limit customer choices or improperly tie use of the acquired capacity to other pipeline or pipeline affiliate services;</w:t>
      </w:r>
    </w:p>
    <w:p>
      <w:pPr>
        <w:pStyle w:val="Normal"/>
        <w:rPr/>
      </w:pPr>
      <w:r>
        <w:rPr/>
      </w:r>
    </w:p>
    <w:p>
      <w:pPr>
        <w:pStyle w:val="Normal"/>
        <w:rPr/>
      </w:pPr>
      <w:r>
        <w:rPr/>
        <w:tab/>
        <w:t>2)  the rate impact on the acquiring pipeline's customers, and how the pipeline proposes to collect the costs of the upstream or downstream capacity;</w:t>
      </w:r>
    </w:p>
    <w:p>
      <w:pPr>
        <w:pStyle w:val="Normal"/>
        <w:rPr/>
      </w:pPr>
      <w:r>
        <w:rPr/>
      </w:r>
    </w:p>
    <w:p>
      <w:pPr>
        <w:pStyle w:val="Normal"/>
        <w:rPr/>
      </w:pPr>
      <w:r>
        <w:rPr/>
        <w:tab/>
        <w:t>3)  depending on how the costs of the capacity are reflected in rates, whether the acquiring pipeline's marketing affiliates may have an advantage over independent marketers or choices among supply basins may be skewed;</w:t>
      </w:r>
    </w:p>
    <w:p>
      <w:pPr>
        <w:pStyle w:val="Normal"/>
        <w:rPr/>
      </w:pPr>
      <w:r>
        <w:rPr/>
      </w:r>
    </w:p>
    <w:p>
      <w:pPr>
        <w:pStyle w:val="Normal"/>
        <w:rPr/>
      </w:pPr>
      <w:r>
        <w:rPr/>
        <w:tab/>
        <w:t>4)  the possibility of preferential treatment for the pipeline acquiring capacity over the customers of the pipeline selling capacity; and</w:t>
      </w:r>
    </w:p>
    <w:p>
      <w:pPr>
        <w:pStyle w:val="Normal"/>
        <w:rPr/>
      </w:pPr>
      <w:r>
        <w:rPr/>
      </w:r>
    </w:p>
    <w:p>
      <w:pPr>
        <w:pStyle w:val="Normal"/>
        <w:rPr/>
      </w:pPr>
      <w:r>
        <w:rPr/>
        <w:tab/>
        <w:t>5)  how the capacity will be managed or otherwise integrated into the pipeline's existing open access operations.</w:t>
      </w:r>
      <w:r>
        <w:rPr>
          <w:rStyle w:val="FootnoteCharacters"/>
          <w:rStyle w:val="FootnoteReference"/>
        </w:rPr>
        <w:footnoteReference w:id="2"/>
      </w:r>
    </w:p>
    <w:p>
      <w:pPr>
        <w:pStyle w:val="Normal"/>
        <w:rPr/>
      </w:pPr>
      <w:r>
        <w:rPr/>
      </w:r>
    </w:p>
    <w:p>
      <w:pPr>
        <w:pStyle w:val="Normal"/>
        <w:rPr/>
      </w:pPr>
      <w:r>
        <w:rPr/>
        <w:tab/>
        <w:t>The Commission has stated that its willingness to consider a pipeline's proposed acquisition of upstream or downstream pipeline capacity stems from a recognition of the need to meet changing market demands.  The construction of new capacity involves cost and environmental implications and could result in duplicative and unnecessary facilities, which is contrary to the Commission's goal of meeting new demand with the least cost and least environmental impact.  Since no single pipeline reaches all production areas and services all markets, acquisition of new upstream or downstream capacity may offer an alternative mechanism for interstate pipelines to provide shippers with access to new supply and market areas.</w:t>
      </w:r>
    </w:p>
    <w:p>
      <w:pPr>
        <w:pStyle w:val="Normal"/>
        <w:rPr/>
      </w:pPr>
      <w:r>
        <w:rPr/>
      </w:r>
    </w:p>
    <w:p>
      <w:pPr>
        <w:pStyle w:val="Normal"/>
        <w:rPr/>
      </w:pPr>
      <w:r>
        <w:rPr/>
        <w:tab/>
        <w:t>Transwestern recently received an order authorizing it to acquire capacity on PNM's system in order to provide firm service on Transwestern, subject to certain restrictions.</w:t>
      </w:r>
      <w:r>
        <w:rPr>
          <w:rStyle w:val="FootnoteCharacters"/>
          <w:rStyle w:val="FootnoteReference"/>
        </w:rPr>
        <w:footnoteReference w:id="3"/>
      </w:r>
      <w:r>
        <w:rPr/>
        <w:t xml:space="preserve">  The Commission stated that Transwestern's filing met the concerns addressed in </w:t>
      </w:r>
      <w:r>
        <w:rPr>
          <w:u w:val="single"/>
        </w:rPr>
        <w:t>Texas Eastern</w:t>
      </w:r>
      <w:r>
        <w:rPr/>
        <w:t xml:space="preserve">.  In particular, while the Commission "is still concerned about the potential ill-effects that rebundling of upstream capacity may have on competition," Transwestern alleviated that concern by agreeing to acquire a maximum of 40,000 MMBtu/day of the 75,000 MMBtu/day available on PNM.   Additionally, the Commission limited Transwestern's ability to acquire capacity to the non-peak months (Apr. – Oct.).  This limitation arose from a concern that PNM's firm capacity is sold out during the peak months, raising a reliability question since Transwestern plans to repackage the capacity as firm. </w:t>
      </w:r>
    </w:p>
    <w:p>
      <w:pPr>
        <w:pStyle w:val="Normal"/>
        <w:rPr/>
      </w:pPr>
      <w:r>
        <w:rPr/>
      </w:r>
    </w:p>
    <w:p>
      <w:pPr>
        <w:pStyle w:val="Normal"/>
        <w:rPr>
          <w:i/>
          <w:i/>
        </w:rPr>
      </w:pPr>
      <w:r>
        <w:rPr/>
        <w:tab/>
        <w:t>In another recent order, the Commission approved Reliant's proposal to obtain 415,000 Dth/day on MRT's system.</w:t>
      </w:r>
      <w:r>
        <w:rPr>
          <w:rStyle w:val="FootnoteCharacters"/>
          <w:rStyle w:val="FootnoteReference"/>
        </w:rPr>
        <w:footnoteReference w:id="4"/>
      </w:r>
      <w:r>
        <w:rPr/>
        <w:t xml:space="preserve">  The Commission explained that Reliant already provided service for its shippers on the relevant portion of MRT's system through an agency arrangement, and that Reliant's proposal would promote efficiency in the pipeline grid by eliminating the need for shippers to contract with two separate entities in order to transport gas from the production area to a hub.  In the order approving Transwestern's proposal to acquire capacity on PNM, the Commission noted that Transwestern's proposal was similar to Reliant's.</w:t>
      </w:r>
    </w:p>
    <w:p>
      <w:pPr>
        <w:pStyle w:val="Heading2"/>
        <w:ind w:hanging="0" w:start="0"/>
        <w:rPr>
          <w:i/>
          <w:i/>
        </w:rPr>
      </w:pPr>
      <w:r>
        <w:rPr>
          <w:i/>
        </w:rPr>
      </w:r>
    </w:p>
    <w:p>
      <w:pPr>
        <w:pStyle w:val="Heading2"/>
        <w:ind w:hanging="0" w:start="0"/>
        <w:rPr/>
      </w:pPr>
      <w:r>
        <w:rPr/>
        <w:t xml:space="preserve">Transwestern's Acquisition of Offsystem Capacity </w:t>
      </w:r>
    </w:p>
    <w:p>
      <w:pPr>
        <w:pStyle w:val="Normal"/>
        <w:rPr/>
      </w:pPr>
      <w:r>
        <w:rPr/>
      </w:r>
    </w:p>
    <w:p>
      <w:pPr>
        <w:pStyle w:val="Normal"/>
        <w:rPr/>
      </w:pPr>
      <w:r>
        <w:rPr/>
        <w:tab/>
        <w:t xml:space="preserve">If Transwestern were to request authority to obtain capacity on El Paso or another competitor pipeline, it would need to address the Commission's </w:t>
      </w:r>
      <w:r>
        <w:rPr>
          <w:u w:val="single"/>
        </w:rPr>
        <w:t>Texas Eastern</w:t>
      </w:r>
      <w:r>
        <w:rPr/>
        <w:t xml:space="preserve"> list of concerns, keeping in mind the Commission's bias against repackaging of capacity because of the potential harmful effect on competition.  While the Commission has shown a willingness to allow pipelines to acquire capacity in order to address capacity constraints or administrative convenience, it has cast doubt on the appropriateness of interstate pipelines brokering one another's capacity without a showing of some other need for the capacity.</w:t>
      </w:r>
      <w:r>
        <w:rPr>
          <w:rStyle w:val="FootnoteCharacters"/>
          <w:rStyle w:val="FootnoteReference"/>
        </w:rPr>
        <w:footnoteReference w:id="5"/>
      </w:r>
      <w:r>
        <w:rPr/>
        <w:t xml:space="preserve">  Still, relatively few pipelines have applied for the ability to obtain off-system capacity, and the outer limits of the Commission's willingness to grant such authority remain largely undefined.  </w:t>
      </w:r>
    </w:p>
    <w:p>
      <w:pPr>
        <w:pStyle w:val="Normal"/>
        <w:rPr/>
      </w:pPr>
      <w:r>
        <w:rPr/>
      </w:r>
    </w:p>
    <w:p>
      <w:pPr>
        <w:pStyle w:val="Normal"/>
        <w:rPr/>
      </w:pPr>
      <w:r>
        <w:rPr/>
        <w:tab/>
        <w:t>If Transwestern filed for authority to obtain capacity on a competitor pipeline in lieu of building an expansion, without the existence of special circumstances such as operational need, it is unclear whether the Commission would reject the proposal outright or whether it would merely impose certain limitations, such as a limit on the amount of capacity that could be obtained.  Similar proposals have been presented to the Commission as tariff filings.</w:t>
      </w:r>
      <w:r>
        <w:rPr>
          <w:rStyle w:val="FootnoteCharacters"/>
          <w:rStyle w:val="FootnoteReference"/>
        </w:rPr>
        <w:footnoteReference w:id="6"/>
      </w:r>
      <w:r>
        <w:rPr/>
        <w:t xml:space="preserve">  It is possible that the Commission would either accept or reject the filing within 30 days; it is more likely that the Commission would suspend the tariff sheets for the maximum period (five months), call a technical conference, and possibly require some modification to the initial proposal.  The Transwestern and Reliant proposals were resolved in five months and four months, respectively.  By working with potential protestors to resolve issues prior to filing, and asking the Commission for expedited scheduling of any technical conference, it may be possible to receive an order in a shorter time period.</w:t>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t>cc:  Drew Fossum, Mary Kay Miller, Glen Hass</w:t>
      </w:r>
    </w:p>
    <w:sectPr>
      <w:footnotePr>
        <w:numFmt w:val="decimal"/>
      </w:footnotePr>
      <w:type w:val="nextPage"/>
      <w:pgSz w:w="12240" w:h="15840"/>
      <w:pgMar w:left="1440" w:right="144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Black">
    <w:charset w:val="00" w:characterSet="windows-1252"/>
    <w:family w:val="swiss"/>
    <w:pitch w:val="variable"/>
  </w:font>
</w:fonts>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Normal"/>
        <w:rPr/>
      </w:pPr>
      <w:r>
        <w:rPr>
          <w:rStyle w:val="FootnoteCharacters"/>
        </w:rPr>
        <w:footnoteRef/>
      </w:r>
      <w:r>
        <w:rPr/>
        <w:t xml:space="preserve"> </w:t>
      </w:r>
      <w:r>
        <w:rPr>
          <w:sz w:val="20"/>
          <w:u w:val="single"/>
        </w:rPr>
        <w:t>Texas Eastern Transmission Corp</w:t>
      </w:r>
      <w:r>
        <w:rPr>
          <w:sz w:val="20"/>
        </w:rPr>
        <w:t xml:space="preserve">., 74 FERC ¶61,074 (1996), </w:t>
      </w:r>
      <w:r>
        <w:rPr>
          <w:sz w:val="20"/>
          <w:u w:val="single"/>
        </w:rPr>
        <w:t>order</w:t>
      </w:r>
      <w:r>
        <w:rPr>
          <w:sz w:val="20"/>
        </w:rPr>
        <w:t xml:space="preserve"> </w:t>
      </w:r>
      <w:r>
        <w:rPr>
          <w:sz w:val="20"/>
          <w:u w:val="single"/>
        </w:rPr>
        <w:t>on</w:t>
      </w:r>
      <w:r>
        <w:rPr>
          <w:sz w:val="20"/>
        </w:rPr>
        <w:t xml:space="preserve"> </w:t>
      </w:r>
      <w:r>
        <w:rPr>
          <w:sz w:val="20"/>
          <w:u w:val="single"/>
        </w:rPr>
        <w:t>rehearing</w:t>
      </w:r>
      <w:r>
        <w:rPr>
          <w:sz w:val="20"/>
        </w:rPr>
        <w:t xml:space="preserve">, 78 FERC ¶61,277 (1997), remanded, </w:t>
      </w:r>
      <w:r>
        <w:rPr>
          <w:sz w:val="20"/>
          <w:u w:val="single"/>
        </w:rPr>
        <w:t>Colorado Interstate Gas Company v. F.E.R.C.</w:t>
      </w:r>
      <w:r>
        <w:rPr>
          <w:sz w:val="20"/>
        </w:rPr>
        <w:t xml:space="preserve">, 146 F.3d 889 (D.C. Cir. 1998).  The D.C. Circuit ordered the Commission to explain more fully its reason for requiring interstate pipelines to apply for Commission approval prior to obtaining capacity on other pipelines, when non-pipelines do not have to seek such approval.  The Commission has not yet issued an order on remand, but is nevertheless still requiring pipelines to follow the requirements set forth in </w:t>
      </w:r>
      <w:r>
        <w:rPr>
          <w:sz w:val="20"/>
          <w:u w:val="single"/>
        </w:rPr>
        <w:t>Texas Eastern</w:t>
      </w:r>
      <w:r>
        <w:rPr>
          <w:sz w:val="20"/>
        </w:rPr>
        <w:t>.</w:t>
      </w:r>
    </w:p>
  </w:footnote>
  <w:footnote w:id="3">
    <w:p>
      <w:pPr>
        <w:pStyle w:val="FootnoteText"/>
        <w:rPr/>
      </w:pPr>
      <w:r>
        <w:rPr>
          <w:rStyle w:val="FootnoteCharacters"/>
        </w:rPr>
        <w:footnoteRef/>
      </w:r>
      <w:r>
        <w:rPr/>
        <w:t xml:space="preserve"> </w:t>
      </w:r>
      <w:r>
        <w:rPr>
          <w:u w:val="single"/>
        </w:rPr>
        <w:t>Transwestern Pipeline Company</w:t>
      </w:r>
      <w:r>
        <w:rPr/>
        <w:t>, 92 FERC ¶ 61,215 (2000).</w:t>
      </w:r>
    </w:p>
  </w:footnote>
  <w:footnote w:id="4">
    <w:p>
      <w:pPr>
        <w:pStyle w:val="FootnoteText"/>
        <w:rPr/>
      </w:pPr>
      <w:r>
        <w:rPr>
          <w:rStyle w:val="FootnoteCharacters"/>
        </w:rPr>
        <w:footnoteRef/>
      </w:r>
      <w:r>
        <w:rPr/>
        <w:t xml:space="preserve"> </w:t>
      </w:r>
      <w:r>
        <w:rPr>
          <w:u w:val="single"/>
        </w:rPr>
        <w:t>Reliant Energy Gas Transmission Company</w:t>
      </w:r>
      <w:r>
        <w:rPr/>
        <w:t>, 92 FERC ¶ 61,086 (2000).</w:t>
      </w:r>
    </w:p>
  </w:footnote>
  <w:footnote w:id="5">
    <w:p>
      <w:pPr>
        <w:pStyle w:val="FootnoteText"/>
        <w:rPr/>
      </w:pPr>
      <w:r>
        <w:rPr>
          <w:rStyle w:val="FootnoteCharacters"/>
        </w:rPr>
        <w:footnoteRef/>
      </w:r>
      <w:r>
        <w:rPr/>
        <w:t xml:space="preserve"> </w:t>
      </w:r>
      <w:r>
        <w:rPr>
          <w:u w:val="single"/>
        </w:rPr>
        <w:t>See</w:t>
      </w:r>
      <w:r>
        <w:rPr/>
        <w:t xml:space="preserve">, </w:t>
      </w:r>
      <w:r>
        <w:rPr>
          <w:u w:val="single"/>
        </w:rPr>
        <w:t>e.g.</w:t>
      </w:r>
      <w:r>
        <w:rPr/>
        <w:t xml:space="preserve">, </w:t>
      </w:r>
      <w:r>
        <w:rPr>
          <w:u w:val="single"/>
        </w:rPr>
        <w:t>Northern Natural Gas Company</w:t>
      </w:r>
      <w:r>
        <w:rPr/>
        <w:t>, 80 FERC ¶ 61,018 (1997).  In rejecting Northern's blanket request for authority to acquire capacity on other pipelines because Northern had not specifically stated what capacity would be acquired, the Commission commented that Northern appeared to be requesting authority to act as a marketer of other pipelines' services rather than to address an operational need.</w:t>
      </w:r>
    </w:p>
  </w:footnote>
  <w:footnote w:id="6">
    <w:p>
      <w:pPr>
        <w:pStyle w:val="FootnoteText"/>
        <w:rPr/>
      </w:pPr>
      <w:r>
        <w:rPr>
          <w:rStyle w:val="FootnoteCharacters"/>
        </w:rPr>
        <w:footnoteRef/>
      </w:r>
      <w:r>
        <w:rPr/>
        <w:t xml:space="preserve"> </w:t>
      </w:r>
      <w:r>
        <w:rPr>
          <w:u w:val="single"/>
        </w:rPr>
        <w:t>See</w:t>
      </w:r>
      <w:r>
        <w:rPr/>
        <w:t xml:space="preserve"> </w:t>
      </w:r>
      <w:r>
        <w:rPr>
          <w:u w:val="single"/>
        </w:rPr>
        <w:t>Transwestern</w:t>
      </w:r>
      <w:r>
        <w:rPr/>
        <w:t xml:space="preserve"> and </w:t>
      </w:r>
      <w:r>
        <w:rPr>
          <w:u w:val="single"/>
        </w:rPr>
        <w:t>Reliant</w:t>
      </w:r>
      <w:r>
        <w:rPr/>
        <w:t xml:space="preserve">, </w:t>
      </w:r>
      <w:r>
        <w:rPr>
          <w:u w:val="single"/>
        </w:rPr>
        <w:t>supra</w:t>
      </w:r>
      <w:r>
        <w:rPr/>
        <w:t>.</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footnotePr>
    <w:numFmt w:val="decimal"/>
    <w:footnote w:id="0"/>
    <w:footnote w:id="1"/>
  </w:footnotePr>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jc w:val="both"/>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outlineLvl w:val="0"/>
    </w:pPr>
    <w:rPr>
      <w:i/>
    </w:rPr>
  </w:style>
  <w:style w:type="paragraph" w:styleId="Heading2">
    <w:name w:val="heading 2"/>
    <w:basedOn w:val="Normal"/>
    <w:next w:val="Normal"/>
    <w:qFormat/>
    <w:pPr>
      <w:keepNext w:val="true"/>
      <w:numPr>
        <w:ilvl w:val="1"/>
        <w:numId w:val="1"/>
      </w:numPr>
      <w:outlineLvl w:val="1"/>
    </w:pPr>
    <w:rPr>
      <w:b/>
    </w:rPr>
  </w:style>
  <w:style w:type="character" w:styleId="DefaultParagraphFont">
    <w:name w:val="Default Paragraph Font"/>
    <w:qFormat/>
    <w:rPr/>
  </w:style>
  <w:style w:type="character" w:styleId="FootnoteCharacters">
    <w:name w:val="Footnote Characters"/>
    <w:basedOn w:val="DefaultParagraphFont"/>
    <w:qFormat/>
    <w:rPr>
      <w:rFonts w:ascii="Times New Roman" w:hAnsi="Times New Roman" w:cs="Times New Roman"/>
      <w:sz w:val="20"/>
      <w:u w:val="none"/>
      <w:vertAlign w:val="superscript"/>
    </w:rPr>
  </w:style>
  <w:style w:type="character" w:styleId="FootnoteReference">
    <w:name w:val="footnote reference"/>
    <w:rPr>
      <w:vertAlign w:val="superscrip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jc w:val="center"/>
    </w:pPr>
    <w:rPr>
      <w:b/>
      <w:sz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z w:val="16"/>
    </w:rPr>
  </w:style>
  <w:style w:type="paragraph" w:styleId="FootnoteText">
    <w:name w:val="footnote text"/>
    <w:basedOn w:val="Normal"/>
    <w:pPr>
      <w:tabs>
        <w:tab w:val="left" w:pos="720" w:leader="none"/>
      </w:tabs>
    </w:pPr>
    <w:rPr>
      <w:sz w:val="2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footnotes" Target="footnotes.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55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2000-09-18T20:18:00Z</dcterms:created>
  <dc:creator>Susan Scott</dc:creator>
  <dc:description/>
  <dc:language>en-CA</dc:language>
  <cp:lastModifiedBy>Susan Scott</cp:lastModifiedBy>
  <cp:lastPrinted>2000-09-20T10:54:00Z</cp:lastPrinted>
  <dcterms:modified xsi:type="dcterms:W3CDTF">2000-09-20T13:35:00Z</dcterms:modified>
  <cp:revision>5</cp:revision>
  <dc:subject/>
  <dc:title> 						Attorney Work Product</dc:title>
</cp:coreProperties>
</file>