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1"/>
        </w:numPr>
        <w:rPr>
          <w:sz w:val="22"/>
        </w:rPr>
      </w:pPr>
      <w:r>
        <w:rPr>
          <w:sz w:val="22"/>
        </w:rPr>
        <w:t xml:space="preserve">Against significant odds, achieved Supreme Court review of Federal Energy Regulatory Commission (FERC) Order No. 888, </w:t>
      </w:r>
      <w:r>
        <w:rPr>
          <w:sz w:val="22"/>
          <w:u w:val="single"/>
        </w:rPr>
        <w:t>et</w:t>
      </w:r>
      <w:r>
        <w:rPr>
          <w:sz w:val="22"/>
        </w:rPr>
        <w:t xml:space="preserve"> </w:t>
      </w:r>
      <w:r>
        <w:rPr>
          <w:sz w:val="22"/>
          <w:u w:val="single"/>
        </w:rPr>
        <w:t>al</w:t>
      </w:r>
      <w:r>
        <w:rPr>
          <w:sz w:val="22"/>
        </w:rPr>
        <w:t>., championing the argument that FERC has jurisdiction to regulate all transmission of electric energy in interstate commerce, including interstate transmission of electric energy that is sold to retail customers at a “bundled” price.  Oral argument was in October and a decision is expected first quarter, 2002.</w:t>
      </w:r>
    </w:p>
    <w:p>
      <w:pPr>
        <w:pStyle w:val="Normal"/>
        <w:rPr>
          <w:sz w:val="22"/>
        </w:rPr>
      </w:pPr>
      <w:r>
        <w:rPr>
          <w:sz w:val="22"/>
        </w:rPr>
      </w:r>
    </w:p>
    <w:p>
      <w:pPr>
        <w:pStyle w:val="Normal"/>
        <w:numPr>
          <w:ilvl w:val="0"/>
          <w:numId w:val="1"/>
        </w:numPr>
        <w:rPr>
          <w:sz w:val="22"/>
        </w:rPr>
      </w:pPr>
      <w:r>
        <w:rPr>
          <w:sz w:val="22"/>
        </w:rPr>
        <w:t>While substituting for Jeff Skilling as a member of the North American Electric Reliability Council (NERC) Board, on various NERC task groups and at NERC Board meetings, achieved the long sought Enron goal of independence of the NERC Board by abolishing the electric utility dominated stakeholder Board and substituting independent board members.</w:t>
      </w:r>
    </w:p>
    <w:p>
      <w:pPr>
        <w:pStyle w:val="Normal"/>
        <w:rPr>
          <w:sz w:val="22"/>
        </w:rPr>
      </w:pPr>
      <w:r>
        <w:rPr>
          <w:sz w:val="22"/>
        </w:rPr>
      </w:r>
    </w:p>
    <w:p>
      <w:pPr>
        <w:pStyle w:val="Normal"/>
        <w:numPr>
          <w:ilvl w:val="0"/>
          <w:numId w:val="1"/>
        </w:numPr>
        <w:rPr>
          <w:sz w:val="22"/>
        </w:rPr>
      </w:pPr>
      <w:r>
        <w:rPr>
          <w:sz w:val="22"/>
        </w:rPr>
        <w:t xml:space="preserve">Before joining Enron Transportation Service (ETS), chaired the Regulatory Affairs Committee of the Electric Power Supply Association (EPSA), the advocacy arm of the primary advocate of electric generators and marketers before the FERC.  </w:t>
      </w:r>
    </w:p>
    <w:p>
      <w:pPr>
        <w:pStyle w:val="Normal"/>
        <w:rPr>
          <w:sz w:val="22"/>
        </w:rPr>
      </w:pPr>
      <w:r>
        <w:rPr>
          <w:sz w:val="22"/>
        </w:rPr>
      </w:r>
    </w:p>
    <w:p>
      <w:pPr>
        <w:pStyle w:val="Normal"/>
        <w:numPr>
          <w:ilvl w:val="0"/>
          <w:numId w:val="1"/>
        </w:numPr>
        <w:tabs>
          <w:tab w:val="clear" w:pos="720"/>
          <w:tab w:val="left" w:pos="1080" w:leader="none"/>
        </w:tabs>
        <w:ind w:hanging="360" w:start="1080" w:end="0"/>
        <w:rPr>
          <w:sz w:val="22"/>
        </w:rPr>
      </w:pPr>
      <w:r>
        <w:rPr>
          <w:sz w:val="22"/>
        </w:rPr>
        <w:t>Successfully integrated Enron’s core goals and messages into the advocacy and principles of EPSA and its diverse membership and championed the creation of a group within EPSA focused on natural gas issues affecting the electric industry.</w:t>
      </w:r>
    </w:p>
    <w:p>
      <w:pPr>
        <w:pStyle w:val="Normal"/>
        <w:ind w:start="360" w:end="0"/>
        <w:rPr>
          <w:sz w:val="22"/>
        </w:rPr>
      </w:pPr>
      <w:r>
        <w:rPr>
          <w:sz w:val="22"/>
        </w:rPr>
      </w:r>
    </w:p>
    <w:p>
      <w:pPr>
        <w:pStyle w:val="Normal"/>
        <w:numPr>
          <w:ilvl w:val="0"/>
          <w:numId w:val="1"/>
        </w:numPr>
        <w:tabs>
          <w:tab w:val="clear" w:pos="720"/>
          <w:tab w:val="left" w:pos="1080" w:leader="none"/>
        </w:tabs>
        <w:ind w:hanging="360" w:start="1080" w:end="0"/>
        <w:rPr>
          <w:sz w:val="22"/>
        </w:rPr>
      </w:pPr>
      <w:r>
        <w:rPr>
          <w:sz w:val="22"/>
        </w:rPr>
        <w:t>Consistent with positions advocated through the EPSA, Enron pleadings and personal efforts, price caps on electric energy sales were avoided during my tenure as Chairman throughout the nation, in general, and particularly in California where price mitigation through safe harbor provisions is applicable only during designated times of capacity shortage.</w:t>
      </w:r>
    </w:p>
    <w:p>
      <w:pPr>
        <w:pStyle w:val="Normal"/>
        <w:rPr>
          <w:sz w:val="22"/>
        </w:rPr>
      </w:pPr>
      <w:r>
        <w:rPr>
          <w:sz w:val="22"/>
        </w:rPr>
      </w:r>
    </w:p>
    <w:p>
      <w:pPr>
        <w:pStyle w:val="Normal"/>
        <w:numPr>
          <w:ilvl w:val="0"/>
          <w:numId w:val="1"/>
        </w:numPr>
        <w:rPr>
          <w:sz w:val="22"/>
        </w:rPr>
      </w:pPr>
      <w:r>
        <w:rPr>
          <w:sz w:val="22"/>
        </w:rPr>
        <w:t xml:space="preserve">After joining ETS, chaired the Regulatory Policy Committee of the Interstate Natural Gas Association of America (INGAA), the advocacy arm of the primary advocate of Interstate Natural Gas Pipelines before the FERC.  </w:t>
      </w:r>
    </w:p>
    <w:p>
      <w:pPr>
        <w:pStyle w:val="Normal"/>
        <w:rPr>
          <w:sz w:val="22"/>
        </w:rPr>
      </w:pPr>
      <w:r>
        <w:rPr>
          <w:sz w:val="22"/>
        </w:rPr>
      </w:r>
    </w:p>
    <w:p>
      <w:pPr>
        <w:pStyle w:val="BodyTextIndent"/>
        <w:numPr>
          <w:ilvl w:val="0"/>
          <w:numId w:val="1"/>
        </w:numPr>
        <w:tabs>
          <w:tab w:val="clear" w:pos="720"/>
          <w:tab w:val="left" w:pos="1080" w:leader="none"/>
        </w:tabs>
        <w:ind w:hanging="360" w:start="1080" w:end="0"/>
        <w:rPr>
          <w:sz w:val="22"/>
        </w:rPr>
      </w:pPr>
      <w:r>
        <w:rPr>
          <w:sz w:val="22"/>
        </w:rPr>
        <w:t>Successfully integrated ETS’s core goals and messages into the advocacy and principles of INGAA.</w:t>
      </w:r>
    </w:p>
    <w:p>
      <w:pPr>
        <w:pStyle w:val="Normal"/>
        <w:ind w:start="1080" w:end="0"/>
        <w:rPr>
          <w:sz w:val="22"/>
        </w:rPr>
      </w:pPr>
      <w:r>
        <w:rPr>
          <w:sz w:val="22"/>
        </w:rPr>
      </w:r>
    </w:p>
    <w:p>
      <w:pPr>
        <w:pStyle w:val="BodyTextIndent"/>
        <w:numPr>
          <w:ilvl w:val="0"/>
          <w:numId w:val="1"/>
        </w:numPr>
        <w:tabs>
          <w:tab w:val="clear" w:pos="720"/>
          <w:tab w:val="left" w:pos="1080" w:leader="none"/>
        </w:tabs>
        <w:ind w:hanging="360" w:start="1080" w:end="0"/>
        <w:rPr>
          <w:sz w:val="22"/>
        </w:rPr>
      </w:pPr>
      <w:r>
        <w:rPr>
          <w:sz w:val="22"/>
        </w:rPr>
        <w:t>Successfully educated key FERC Staff on the problems that would be caused by many of the options considered for inclusion in the Marketing Affiliate Notice of Proposed Rulemaking issued this year.</w:t>
      </w:r>
    </w:p>
    <w:p>
      <w:pPr>
        <w:pStyle w:val="Normal"/>
        <w:ind w:start="1080" w:end="0"/>
        <w:rPr>
          <w:sz w:val="22"/>
        </w:rPr>
      </w:pPr>
      <w:r>
        <w:rPr>
          <w:sz w:val="22"/>
        </w:rPr>
      </w:r>
    </w:p>
    <w:p>
      <w:pPr>
        <w:pStyle w:val="BodyTextIndent"/>
        <w:numPr>
          <w:ilvl w:val="0"/>
          <w:numId w:val="1"/>
        </w:numPr>
        <w:tabs>
          <w:tab w:val="clear" w:pos="720"/>
          <w:tab w:val="left" w:pos="1080" w:leader="none"/>
        </w:tabs>
        <w:ind w:hanging="360" w:start="1080" w:end="0"/>
        <w:rPr>
          <w:sz w:val="22"/>
        </w:rPr>
      </w:pPr>
      <w:r>
        <w:rPr>
          <w:sz w:val="22"/>
        </w:rPr>
        <w:t xml:space="preserve">Successfully educated key FERC Staff on the various rate, tariff and operations issues and problems that arise from gas fired generation interconnecting with interstate pipelines, and the need to continue a contract based approach to transmission service. </w:t>
      </w:r>
    </w:p>
    <w:p>
      <w:pPr>
        <w:pStyle w:val="Normal"/>
        <w:tabs>
          <w:tab w:val="clear" w:pos="720"/>
          <w:tab w:val="left" w:pos="1815" w:leader="none"/>
        </w:tabs>
        <w:rPr>
          <w:sz w:val="22"/>
        </w:rPr>
      </w:pPr>
      <w:r>
        <w:rPr>
          <w:sz w:val="22"/>
        </w:rPr>
        <w:tab/>
      </w:r>
    </w:p>
    <w:p>
      <w:pPr>
        <w:pStyle w:val="Normal"/>
        <w:numPr>
          <w:ilvl w:val="0"/>
          <w:numId w:val="1"/>
        </w:numPr>
        <w:rPr/>
      </w:pPr>
      <w:r>
        <w:rPr>
          <w:sz w:val="22"/>
        </w:rPr>
        <w:t>Actively participated in and educated key decision makers about the successful defense of Transwestern’s Negotiated Rate Deals set for hearing.</w:t>
      </w:r>
    </w:p>
    <w:p>
      <w:pPr>
        <w:pStyle w:val="Normal"/>
        <w:rPr/>
      </w:pPr>
      <w:r>
        <w:rPr/>
      </w:r>
    </w:p>
    <w:sectPr>
      <w:type w:val="nextPage"/>
      <w:pgSz w:w="12240" w:h="15840"/>
      <w:pgMar w:left="1800" w:right="1800" w:gutter="0" w:header="0" w:top="180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5">
    <w:name w:val="WW8Num1z5"/>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2001-12-21T14:22:00Z</dcterms:created>
  <dc:creator>jhartso</dc:creator>
  <dc:description/>
  <dc:language>en-CA</dc:language>
  <cp:lastModifiedBy>jhartso</cp:lastModifiedBy>
  <cp:lastPrinted>2001-12-21T11:54:00Z</cp:lastPrinted>
  <dcterms:modified xsi:type="dcterms:W3CDTF">2001-12-21T14:22:00Z</dcterms:modified>
  <cp:revision>2</cp:revision>
  <dc:subject/>
  <dc:title>Against significant odds and internal opposition for funding, achieved Supreme Court review of Federal Energy Regulatory Commi</dc:title>
</cp:coreProperties>
</file>