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sz w:val="32"/>
        </w:rPr>
        <w:t>Transaction Support Hub</w:t>
      </w:r>
    </w:p>
    <w:p>
      <w:pPr>
        <w:pStyle w:val="Normal"/>
        <w:rPr>
          <w:sz w:val="32"/>
        </w:rPr>
      </w:pPr>
      <w:r>
        <w:rPr>
          <w:sz w:val="32"/>
        </w:rPr>
      </w:r>
    </w:p>
    <w:p>
      <w:pPr>
        <w:pStyle w:val="Normal"/>
        <w:rPr/>
      </w:pPr>
      <w:r>
        <w:rPr/>
      </w:r>
    </w:p>
    <w:p>
      <w:pPr>
        <w:pStyle w:val="Normal"/>
        <w:numPr>
          <w:ilvl w:val="0"/>
          <w:numId w:val="2"/>
        </w:numPr>
        <w:rPr/>
      </w:pPr>
      <w:r>
        <w:rPr/>
        <w:t>Key Deal Terms</w:t>
      </w:r>
    </w:p>
    <w:p>
      <w:pPr>
        <w:pStyle w:val="Normal"/>
        <w:numPr>
          <w:ilvl w:val="1"/>
          <w:numId w:val="2"/>
        </w:numPr>
        <w:rPr/>
      </w:pPr>
      <w:r>
        <w:rPr/>
        <w:t>5 year license to transaction data</w:t>
      </w:r>
    </w:p>
    <w:p>
      <w:pPr>
        <w:pStyle w:val="Normal"/>
        <w:numPr>
          <w:ilvl w:val="1"/>
          <w:numId w:val="2"/>
        </w:numPr>
        <w:rPr/>
      </w:pPr>
      <w:r>
        <w:rPr/>
        <w:t>Exclusive 3</w:t>
      </w:r>
      <w:r>
        <w:rPr>
          <w:vertAlign w:val="superscript"/>
        </w:rPr>
        <w:t>rd</w:t>
      </w:r>
      <w:r>
        <w:rPr/>
        <w:t xml:space="preserve"> party license to redistribute that data (Enron would retain right to distribute directly if party did not agree to work with Accenture).</w:t>
      </w:r>
    </w:p>
    <w:p>
      <w:pPr>
        <w:pStyle w:val="Normal"/>
        <w:numPr>
          <w:ilvl w:val="2"/>
          <w:numId w:val="2"/>
        </w:numPr>
        <w:rPr/>
      </w:pPr>
      <w:r>
        <w:rPr/>
        <w:t>As long as Accenture’s prices are reasonable, Enron will not charge less than Accenture.</w:t>
      </w:r>
    </w:p>
    <w:p>
      <w:pPr>
        <w:pStyle w:val="Normal"/>
        <w:numPr>
          <w:ilvl w:val="2"/>
          <w:numId w:val="2"/>
        </w:numPr>
        <w:rPr/>
      </w:pPr>
      <w:r>
        <w:rPr>
          <w:color w:val="0000FF"/>
        </w:rPr>
        <w:t>Point of clarification – We distribute CP data only to the CPs subscribing to the service and we only send them their data. However, we have visibility to the entire data stream to assist us with marketing/ business planning efforts</w:t>
      </w:r>
    </w:p>
    <w:p>
      <w:pPr>
        <w:pStyle w:val="Normal"/>
        <w:numPr>
          <w:ilvl w:val="2"/>
          <w:numId w:val="2"/>
        </w:numPr>
        <w:rPr/>
      </w:pPr>
      <w:r>
        <w:rPr>
          <w:color w:val="0000FF"/>
        </w:rPr>
        <w:t>In the event that a CP does not want to utilize the Accenture service, Enron will serve that CP. Enron may use the TSH to provide this service. Regardless, the TSH receives the revenue stream for those transactions less Enron’s cost of processing.</w:t>
      </w:r>
    </w:p>
    <w:p>
      <w:pPr>
        <w:pStyle w:val="Normal"/>
        <w:numPr>
          <w:ilvl w:val="1"/>
          <w:numId w:val="2"/>
        </w:numPr>
        <w:rPr/>
      </w:pPr>
      <w:r>
        <w:rPr/>
        <w:t>Accenture will license or purchase IP Enron has already developed for TSH (What is Accenture’s Sense and Respond?).</w:t>
      </w:r>
    </w:p>
    <w:p>
      <w:pPr>
        <w:pStyle w:val="Normal"/>
        <w:numPr>
          <w:ilvl w:val="2"/>
          <w:numId w:val="2"/>
        </w:numPr>
        <w:rPr/>
      </w:pPr>
      <w:r>
        <w:rPr>
          <w:color w:val="0000FF"/>
        </w:rPr>
        <w:t>We are completely open to this. We need to see the asset (total disclosure) to make a determination. If leverageable, we need to have an unrestricted license.</w:t>
      </w:r>
    </w:p>
    <w:p>
      <w:pPr>
        <w:pStyle w:val="Normal"/>
        <w:numPr>
          <w:ilvl w:val="1"/>
          <w:numId w:val="2"/>
        </w:numPr>
        <w:rPr/>
      </w:pPr>
      <w:r>
        <w:rPr/>
        <w:t>License fee equal to 30% of actual gross revenues of TSH with a firm $1 MM annual floor. (not contingent on future EOL volumes)</w:t>
      </w:r>
    </w:p>
    <w:p>
      <w:pPr>
        <w:pStyle w:val="Normal"/>
        <w:numPr>
          <w:ilvl w:val="2"/>
          <w:numId w:val="2"/>
        </w:numPr>
        <w:rPr/>
      </w:pPr>
      <w:r>
        <w:rPr>
          <w:color w:val="0000FF"/>
        </w:rPr>
        <w:t>License fee equals 30% of actual gross revenues of TSH related to EOL transaction data processing</w:t>
      </w:r>
    </w:p>
    <w:p>
      <w:pPr>
        <w:pStyle w:val="Normal"/>
        <w:numPr>
          <w:ilvl w:val="2"/>
          <w:numId w:val="2"/>
        </w:numPr>
        <w:rPr/>
      </w:pPr>
      <w:r>
        <w:rPr>
          <w:color w:val="0000FF"/>
        </w:rPr>
        <w:t>The actual floor will be a pricing decision.  We will work towards closing the NPV gap between our original proposal and your current proposal.</w:t>
      </w:r>
    </w:p>
    <w:p>
      <w:pPr>
        <w:pStyle w:val="Normal"/>
        <w:numPr>
          <w:ilvl w:val="1"/>
          <w:numId w:val="2"/>
        </w:numPr>
        <w:rPr/>
      </w:pPr>
      <w:r>
        <w:rPr/>
        <w:t>Existing relationships:  Kiodex, TrueQuote, HoustonStreet and Commodity Logic.  Agree that these relationships don’t impact the $5 million floor, but future deals would have a known impact to this amount.</w:t>
      </w:r>
    </w:p>
    <w:p>
      <w:pPr>
        <w:pStyle w:val="Normal"/>
        <w:numPr>
          <w:ilvl w:val="2"/>
          <w:numId w:val="2"/>
        </w:numPr>
        <w:rPr/>
      </w:pPr>
      <w:r>
        <w:rPr>
          <w:color w:val="0000FF"/>
        </w:rPr>
        <w:t>Enron will not be restricted in doing any deals.  For any deals that utilize the EOL data as a basis for the offering (transaction data or derivative), EOL will keep the Accenture TSH whole by reimbursing Accenture for the associated revenue stream. Enron will, accordingly, receive its 30% share of this stream. This applies to all deals, current and future.</w:t>
      </w:r>
    </w:p>
    <w:p>
      <w:pPr>
        <w:pStyle w:val="Normal"/>
        <w:numPr>
          <w:ilvl w:val="1"/>
          <w:numId w:val="2"/>
        </w:numPr>
        <w:rPr/>
      </w:pPr>
      <w:r>
        <w:rPr/>
        <w:t>Payment of $5 million will be in US dollars, not services.</w:t>
      </w:r>
    </w:p>
    <w:p>
      <w:pPr>
        <w:pStyle w:val="Normal"/>
        <w:numPr>
          <w:ilvl w:val="2"/>
          <w:numId w:val="2"/>
        </w:numPr>
        <w:rPr/>
      </w:pPr>
      <w:r>
        <w:rPr>
          <w:color w:val="0000FF"/>
        </w:rPr>
        <w:t>Okay, but see point 4 above re: floor payment</w:t>
      </w:r>
    </w:p>
    <w:p>
      <w:pPr>
        <w:pStyle w:val="Normal"/>
        <w:numPr>
          <w:ilvl w:val="1"/>
          <w:numId w:val="2"/>
        </w:numPr>
        <w:rPr/>
      </w:pPr>
      <w:r>
        <w:rPr/>
        <w:t xml:space="preserve">Accenture will not retain any ownership or rights to data.  </w:t>
      </w:r>
    </w:p>
    <w:p>
      <w:pPr>
        <w:pStyle w:val="Normal"/>
        <w:numPr>
          <w:ilvl w:val="1"/>
          <w:numId w:val="2"/>
        </w:numPr>
        <w:rPr/>
      </w:pPr>
      <w:r>
        <w:rPr/>
        <w:t>Does not include direct right to future businesses; will be evaluated at future times.</w:t>
      </w:r>
    </w:p>
    <w:p>
      <w:pPr>
        <w:pStyle w:val="Normal"/>
        <w:numPr>
          <w:ilvl w:val="1"/>
          <w:numId w:val="2"/>
        </w:numPr>
        <w:rPr/>
      </w:pPr>
      <w:r>
        <w:rPr/>
        <w:t>Accenture retains all of its integration revenues received from customers of TSH</w:t>
      </w:r>
    </w:p>
    <w:p>
      <w:pPr>
        <w:pStyle w:val="Normal"/>
        <w:rPr/>
      </w:pPr>
      <w:r>
        <w:rPr/>
      </w:r>
    </w:p>
    <w:p>
      <w:pPr>
        <w:pStyle w:val="Normal"/>
        <w:numPr>
          <w:ilvl w:val="0"/>
          <w:numId w:val="2"/>
        </w:numPr>
        <w:rPr/>
      </w:pPr>
      <w:r>
        <w:rPr/>
        <w:t>Requirements to Closing</w:t>
      </w:r>
    </w:p>
    <w:p>
      <w:pPr>
        <w:pStyle w:val="Normal"/>
        <w:numPr>
          <w:ilvl w:val="1"/>
          <w:numId w:val="2"/>
        </w:numPr>
        <w:rPr/>
      </w:pPr>
      <w:r>
        <w:rPr/>
        <w:t>Due Diligence:  Clarify extent of what needs to be done – tasks and timeline (analysis, internal approvals, LOI’s, etc.)</w:t>
      </w:r>
    </w:p>
    <w:p>
      <w:pPr>
        <w:pStyle w:val="Normal"/>
        <w:numPr>
          <w:ilvl w:val="1"/>
          <w:numId w:val="2"/>
        </w:numPr>
        <w:rPr/>
      </w:pPr>
      <w:r>
        <w:rPr/>
        <w:t>Contract</w:t>
      </w:r>
    </w:p>
    <w:p>
      <w:pPr>
        <w:pStyle w:val="Normal"/>
        <w:numPr>
          <w:ilvl w:val="1"/>
          <w:numId w:val="2"/>
        </w:numPr>
        <w:rPr/>
      </w:pPr>
      <w:r>
        <w:rPr/>
        <w:t>Establish target date for closing and market launch</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5">
    <w:name w:val="WW8Num1z5"/>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2001-04-09T11:06:00Z</dcterms:created>
  <dc:creator>Dave Samuels</dc:creator>
  <dc:description/>
  <dc:language>en-CA</dc:language>
  <cp:lastModifiedBy>Peggy A. Kostial</cp:lastModifiedBy>
  <cp:lastPrinted>2001-04-09T09:06:00Z</cp:lastPrinted>
  <dcterms:modified xsi:type="dcterms:W3CDTF">2001-04-10T08:58:00Z</dcterms:modified>
  <cp:revision>17</cp:revision>
  <dc:subject/>
  <dc:title/>
</cp:coreProperties>
</file>